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7E" w:rsidRDefault="00D6397E" w:rsidP="00D6397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Bértárgyalások 2019</w:t>
      </w:r>
    </w:p>
    <w:p w:rsidR="00D6397E" w:rsidRDefault="00D6397E" w:rsidP="00D6397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Háttéranyag</w:t>
      </w:r>
    </w:p>
    <w:p w:rsidR="00D6397E" w:rsidRDefault="00D6397E" w:rsidP="00D63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97E" w:rsidRDefault="00D6397E" w:rsidP="000459B3">
      <w:pPr>
        <w:pStyle w:val="Listaszerbekezds"/>
        <w:numPr>
          <w:ilvl w:val="0"/>
          <w:numId w:val="3"/>
        </w:numPr>
        <w:jc w:val="both"/>
        <w:rPr>
          <w:b/>
        </w:rPr>
      </w:pPr>
      <w:r w:rsidRPr="000459B3">
        <w:rPr>
          <w:b/>
        </w:rPr>
        <w:t>Kitekintő a 2018-as makrogazdasági folyamatokról</w:t>
      </w:r>
    </w:p>
    <w:p w:rsidR="000459B3" w:rsidRPr="000459B3" w:rsidRDefault="000459B3" w:rsidP="000459B3">
      <w:pPr>
        <w:pStyle w:val="Listaszerbekezds"/>
        <w:jc w:val="both"/>
        <w:rPr>
          <w:b/>
        </w:rPr>
      </w:pPr>
    </w:p>
    <w:p w:rsidR="000459B3" w:rsidRPr="005A1D9B" w:rsidRDefault="000459B3" w:rsidP="005A1D9B">
      <w:pPr>
        <w:pStyle w:val="Listaszerbekezds"/>
        <w:numPr>
          <w:ilvl w:val="1"/>
          <w:numId w:val="3"/>
        </w:numPr>
        <w:jc w:val="both"/>
        <w:rPr>
          <w:b/>
        </w:rPr>
      </w:pPr>
      <w:r w:rsidRPr="005A1D9B">
        <w:rPr>
          <w:b/>
        </w:rPr>
        <w:t>Növekvő külpiaci kockázatot</w:t>
      </w:r>
    </w:p>
    <w:p w:rsidR="00367F91" w:rsidRDefault="00367F91" w:rsidP="0036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57D6" w:rsidRPr="00842871" w:rsidRDefault="00367F91" w:rsidP="00367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367F91">
        <w:rPr>
          <w:rFonts w:ascii="Times New Roman" w:eastAsia="Times New Roman" w:hAnsi="Times New Roman" w:cs="Times New Roman"/>
          <w:b/>
          <w:lang w:eastAsia="hu-HU"/>
        </w:rPr>
        <w:t xml:space="preserve">     </w:t>
      </w:r>
      <w:r w:rsidR="00DD3013" w:rsidRPr="00367F91">
        <w:rPr>
          <w:rFonts w:ascii="Times New Roman" w:hAnsi="Times New Roman" w:cs="Times New Roman"/>
        </w:rPr>
        <w:t>Az idei évben folytatód</w:t>
      </w:r>
      <w:r w:rsidR="002557D6" w:rsidRPr="00367F91">
        <w:rPr>
          <w:rFonts w:ascii="Times New Roman" w:hAnsi="Times New Roman" w:cs="Times New Roman"/>
        </w:rPr>
        <w:t>ik</w:t>
      </w:r>
      <w:r w:rsidR="00DD3013" w:rsidRPr="00367F91">
        <w:rPr>
          <w:rFonts w:ascii="Times New Roman" w:hAnsi="Times New Roman" w:cs="Times New Roman"/>
        </w:rPr>
        <w:t xml:space="preserve"> a világgaz</w:t>
      </w:r>
      <w:r w:rsidR="00DC1F7D" w:rsidRPr="00367F91">
        <w:rPr>
          <w:rFonts w:ascii="Times New Roman" w:hAnsi="Times New Roman" w:cs="Times New Roman"/>
        </w:rPr>
        <w:t>daság kibocsátásának növekedése</w:t>
      </w:r>
      <w:r w:rsidR="00DD3013" w:rsidRPr="00367F91">
        <w:rPr>
          <w:rFonts w:ascii="Times New Roman" w:hAnsi="Times New Roman" w:cs="Times New Roman"/>
        </w:rPr>
        <w:t>, ugyanak</w:t>
      </w:r>
      <w:r w:rsidR="00DC1F7D" w:rsidRPr="00367F91">
        <w:rPr>
          <w:rFonts w:ascii="Times New Roman" w:hAnsi="Times New Roman" w:cs="Times New Roman"/>
        </w:rPr>
        <w:t>k</w:t>
      </w:r>
      <w:r w:rsidR="00842871">
        <w:rPr>
          <w:rFonts w:ascii="Times New Roman" w:hAnsi="Times New Roman" w:cs="Times New Roman"/>
        </w:rPr>
        <w:t>or a</w:t>
      </w:r>
      <w:r w:rsidR="00DD3013" w:rsidRPr="00367F91">
        <w:rPr>
          <w:rFonts w:ascii="Times New Roman" w:hAnsi="Times New Roman" w:cs="Times New Roman"/>
        </w:rPr>
        <w:t xml:space="preserve"> kilátásokat övező kockázatok emelkedtek</w:t>
      </w:r>
      <w:r w:rsidR="00DC1F7D" w:rsidRPr="00367F91">
        <w:rPr>
          <w:rFonts w:ascii="Times New Roman" w:hAnsi="Times New Roman" w:cs="Times New Roman"/>
        </w:rPr>
        <w:t>. Az OECD az idei évre 3,8%-os globális bővülést prognosztizál.</w:t>
      </w:r>
      <w:r w:rsidR="002557D6" w:rsidRPr="00367F91">
        <w:rPr>
          <w:rFonts w:ascii="Times New Roman" w:hAnsi="Times New Roman" w:cs="Times New Roman"/>
        </w:rPr>
        <w:t xml:space="preserve"> A globális infláció enyhén tovább emelkedett, azonban a maginflációs mutatók változatlanul mérsékelt szinten alakultak. Az Egyesült Államok növekedése gyorsult, miközben a kínai gazdaság dinamikus bővülése fennmaradt. Az eurozóna gazdasági növekedése folytatódott, ugyanakkor az előretekintő konjunktúraindikátorok tovább mérséklődtek a nyári hónapokban. </w:t>
      </w:r>
      <w:r w:rsidR="002557D6" w:rsidRPr="00842871">
        <w:rPr>
          <w:rFonts w:ascii="Times New Roman" w:hAnsi="Times New Roman" w:cs="Times New Roman"/>
          <w:b/>
        </w:rPr>
        <w:t>A Visegrádi régió az Európai Unió növekedési centruma maradt.</w:t>
      </w:r>
    </w:p>
    <w:p w:rsidR="002557D6" w:rsidRPr="00367F91" w:rsidRDefault="002557D6" w:rsidP="00367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557D6" w:rsidRPr="00367F91" w:rsidRDefault="002557D6" w:rsidP="00367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67F91">
        <w:rPr>
          <w:rFonts w:ascii="Times New Roman" w:hAnsi="Times New Roman" w:cs="Times New Roman"/>
        </w:rPr>
        <w:t xml:space="preserve">A </w:t>
      </w:r>
      <w:r w:rsidRPr="00842871">
        <w:rPr>
          <w:rFonts w:ascii="Times New Roman" w:hAnsi="Times New Roman" w:cs="Times New Roman"/>
          <w:b/>
        </w:rPr>
        <w:t>kockázatok</w:t>
      </w:r>
      <w:r w:rsidRPr="00367F91">
        <w:rPr>
          <w:rFonts w:ascii="Times New Roman" w:hAnsi="Times New Roman" w:cs="Times New Roman"/>
        </w:rPr>
        <w:t xml:space="preserve"> közül érdemes kiemelni, hogy </w:t>
      </w:r>
      <w:r w:rsidR="004E3C7A" w:rsidRPr="00367F91">
        <w:rPr>
          <w:rFonts w:ascii="Times New Roman" w:hAnsi="Times New Roman" w:cs="Times New Roman"/>
        </w:rPr>
        <w:t>a globális kereskedelmi feszültségek fokozódása vált a legmagasabb pénzpiaci és növekedési kockázattá</w:t>
      </w:r>
      <w:r w:rsidR="004E3C7A">
        <w:rPr>
          <w:rFonts w:ascii="Times New Roman" w:hAnsi="Times New Roman" w:cs="Times New Roman"/>
        </w:rPr>
        <w:t xml:space="preserve">. </w:t>
      </w:r>
      <w:r w:rsidRPr="00367F91">
        <w:rPr>
          <w:rFonts w:ascii="Times New Roman" w:hAnsi="Times New Roman" w:cs="Times New Roman"/>
        </w:rPr>
        <w:t xml:space="preserve">Emellett </w:t>
      </w:r>
      <w:r w:rsidR="004E3C7A" w:rsidRPr="00367F91">
        <w:rPr>
          <w:rFonts w:ascii="Times New Roman" w:hAnsi="Times New Roman" w:cs="Times New Roman"/>
        </w:rPr>
        <w:t xml:space="preserve">a geopolitikai kockázatok </w:t>
      </w:r>
      <w:r w:rsidR="004E3C7A">
        <w:rPr>
          <w:rFonts w:ascii="Times New Roman" w:hAnsi="Times New Roman" w:cs="Times New Roman"/>
        </w:rPr>
        <w:t xml:space="preserve">érdemben </w:t>
      </w:r>
      <w:r w:rsidR="004E3C7A" w:rsidRPr="00367F91">
        <w:rPr>
          <w:rFonts w:ascii="Times New Roman" w:hAnsi="Times New Roman" w:cs="Times New Roman"/>
        </w:rPr>
        <w:t>erősödtek</w:t>
      </w:r>
      <w:r w:rsidR="004E3C7A">
        <w:rPr>
          <w:rFonts w:ascii="Times New Roman" w:hAnsi="Times New Roman" w:cs="Times New Roman"/>
        </w:rPr>
        <w:t>,</w:t>
      </w:r>
      <w:r w:rsidR="004E3C7A" w:rsidRPr="00367F91">
        <w:rPr>
          <w:rFonts w:ascii="Times New Roman" w:hAnsi="Times New Roman" w:cs="Times New Roman"/>
        </w:rPr>
        <w:t xml:space="preserve"> </w:t>
      </w:r>
      <w:r w:rsidRPr="00367F91">
        <w:rPr>
          <w:rFonts w:ascii="Times New Roman" w:hAnsi="Times New Roman" w:cs="Times New Roman"/>
        </w:rPr>
        <w:t>negatív kockázatként azonosítható a kínai lassulás, illetve adósság és árfolyamválság (Törökország, Argentína, Venezuela, Olaszország) kialakulása miatt fokozódó pénzpiaci turbulenciák esélye, illetve a magas olasz államadósság és várható fiskális politikából eredő pénzügyi és reálgazadasági kockázatok is.</w:t>
      </w:r>
    </w:p>
    <w:p w:rsidR="002557D6" w:rsidRPr="00367F91" w:rsidRDefault="002557D6" w:rsidP="00367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557D6" w:rsidRDefault="002557D6" w:rsidP="00367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67F91">
        <w:rPr>
          <w:rFonts w:ascii="Times New Roman" w:hAnsi="Times New Roman" w:cs="Times New Roman"/>
        </w:rPr>
        <w:t xml:space="preserve">Az európai növekedésre rövid távon lefelé mutató kockázatként azonosítható az elmúlt időszak romló ipari termelése, a nemzetközi konjunktúraindikátorok korrekciója, illetve a feltörekvő piacokon tapasztalható törékeny pénzügyi </w:t>
      </w:r>
      <w:r w:rsidR="00842871">
        <w:rPr>
          <w:rFonts w:ascii="Times New Roman" w:hAnsi="Times New Roman" w:cs="Times New Roman"/>
        </w:rPr>
        <w:t>környezet miatti bizonytalanság, illetve a</w:t>
      </w:r>
      <w:r w:rsidRPr="00367F91">
        <w:rPr>
          <w:rFonts w:ascii="Times New Roman" w:hAnsi="Times New Roman" w:cs="Times New Roman"/>
        </w:rPr>
        <w:t>z Egyesült</w:t>
      </w:r>
      <w:r w:rsidR="00842871">
        <w:rPr>
          <w:rFonts w:ascii="Times New Roman" w:hAnsi="Times New Roman" w:cs="Times New Roman"/>
        </w:rPr>
        <w:t xml:space="preserve"> Királyság EU-ból való kilépése.</w:t>
      </w:r>
    </w:p>
    <w:p w:rsidR="005B77E6" w:rsidRPr="00367F91" w:rsidRDefault="005B77E6" w:rsidP="00367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557D6" w:rsidRPr="00367F91" w:rsidRDefault="002557D6" w:rsidP="00367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67F91">
        <w:rPr>
          <w:rFonts w:ascii="Times New Roman" w:hAnsi="Times New Roman" w:cs="Times New Roman"/>
        </w:rPr>
        <w:t>A kilátások mindezek ellenére azonban egyelőre pozitívak, a várakozások szerint a világgazdaság átfogó növekedése fennmaradhat.</w:t>
      </w:r>
    </w:p>
    <w:p w:rsidR="0024160C" w:rsidRDefault="0024160C" w:rsidP="00241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7E6" w:rsidRDefault="005B77E6" w:rsidP="00241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C91" w:rsidRDefault="003A2C91" w:rsidP="00DB6C40">
      <w:pPr>
        <w:pStyle w:val="Listaszerbekezds"/>
        <w:numPr>
          <w:ilvl w:val="1"/>
          <w:numId w:val="3"/>
        </w:numPr>
        <w:jc w:val="both"/>
        <w:rPr>
          <w:b/>
        </w:rPr>
      </w:pPr>
      <w:r w:rsidRPr="00DB6C40">
        <w:rPr>
          <w:b/>
        </w:rPr>
        <w:t xml:space="preserve">Továbbra is stabil lábakon a magyar gazdaság </w:t>
      </w:r>
    </w:p>
    <w:p w:rsidR="005B77E6" w:rsidRDefault="005B77E6" w:rsidP="005B77E6">
      <w:pPr>
        <w:pStyle w:val="Listaszerbekezds"/>
        <w:jc w:val="both"/>
        <w:rPr>
          <w:b/>
        </w:rPr>
      </w:pPr>
    </w:p>
    <w:p w:rsidR="003A2C91" w:rsidRDefault="003A2C91" w:rsidP="00CC507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557D6" w:rsidRPr="005B77E6" w:rsidRDefault="005B77E6" w:rsidP="005B77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557D6" w:rsidRPr="005B77E6">
        <w:rPr>
          <w:rFonts w:ascii="Times New Roman" w:hAnsi="Times New Roman" w:cs="Times New Roman"/>
        </w:rPr>
        <w:t xml:space="preserve">A Visegrádi régió </w:t>
      </w:r>
      <w:r w:rsidR="00516C5D">
        <w:rPr>
          <w:rFonts w:ascii="Times New Roman" w:hAnsi="Times New Roman" w:cs="Times New Roman"/>
        </w:rPr>
        <w:t xml:space="preserve">maradt </w:t>
      </w:r>
      <w:r w:rsidR="002557D6" w:rsidRPr="005B77E6">
        <w:rPr>
          <w:rFonts w:ascii="Times New Roman" w:hAnsi="Times New Roman" w:cs="Times New Roman"/>
        </w:rPr>
        <w:t xml:space="preserve">az </w:t>
      </w:r>
      <w:r w:rsidR="00516C5D">
        <w:rPr>
          <w:rFonts w:ascii="Times New Roman" w:hAnsi="Times New Roman" w:cs="Times New Roman"/>
        </w:rPr>
        <w:t>E</w:t>
      </w:r>
      <w:r w:rsidR="002557D6" w:rsidRPr="005B77E6">
        <w:rPr>
          <w:rFonts w:ascii="Times New Roman" w:hAnsi="Times New Roman" w:cs="Times New Roman"/>
        </w:rPr>
        <w:t xml:space="preserve">urópai Unió növekedési centruma. Az </w:t>
      </w:r>
      <w:r w:rsidR="00516C5D">
        <w:rPr>
          <w:rFonts w:ascii="Times New Roman" w:hAnsi="Times New Roman" w:cs="Times New Roman"/>
        </w:rPr>
        <w:t xml:space="preserve">idei év eddigi részében </w:t>
      </w:r>
      <w:r w:rsidR="002557D6" w:rsidRPr="005B77E6">
        <w:rPr>
          <w:rFonts w:ascii="Times New Roman" w:hAnsi="Times New Roman" w:cs="Times New Roman"/>
        </w:rPr>
        <w:t xml:space="preserve">ismét a visegrádi régió bizonyult az Európai Unió leggyorsabban bővülő régiójának. Lengyelországban 5,0, </w:t>
      </w:r>
      <w:r w:rsidR="005B2372" w:rsidRPr="005B77E6">
        <w:rPr>
          <w:rFonts w:ascii="Times New Roman" w:hAnsi="Times New Roman" w:cs="Times New Roman"/>
        </w:rPr>
        <w:t xml:space="preserve">Magyarországon 4,6, </w:t>
      </w:r>
      <w:r w:rsidR="002557D6" w:rsidRPr="005B77E6">
        <w:rPr>
          <w:rFonts w:ascii="Times New Roman" w:hAnsi="Times New Roman" w:cs="Times New Roman"/>
        </w:rPr>
        <w:t>Szlovákiában 4,1, míg Csehországban 2,7 százalékos GDP-növekedést regisztráltak a második negyedévben.</w:t>
      </w:r>
    </w:p>
    <w:p w:rsidR="003A2C91" w:rsidRPr="005B77E6" w:rsidRDefault="003A2C91" w:rsidP="005B77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C5079" w:rsidRPr="005B77E6" w:rsidRDefault="00CC5079" w:rsidP="005B77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B77E6">
        <w:rPr>
          <w:rFonts w:ascii="Times New Roman" w:hAnsi="Times New Roman" w:cs="Times New Roman"/>
        </w:rPr>
        <w:t xml:space="preserve">Az idei évben a </w:t>
      </w:r>
      <w:r w:rsidR="005B2372" w:rsidRPr="005B77E6">
        <w:rPr>
          <w:rFonts w:ascii="Times New Roman" w:hAnsi="Times New Roman" w:cs="Times New Roman"/>
        </w:rPr>
        <w:t xml:space="preserve">magyar </w:t>
      </w:r>
      <w:r w:rsidRPr="005B77E6">
        <w:rPr>
          <w:rFonts w:ascii="Times New Roman" w:hAnsi="Times New Roman" w:cs="Times New Roman"/>
        </w:rPr>
        <w:t xml:space="preserve">gazdaság tavalyinál </w:t>
      </w:r>
      <w:r w:rsidR="005B2372" w:rsidRPr="005B77E6">
        <w:rPr>
          <w:rFonts w:ascii="Times New Roman" w:hAnsi="Times New Roman" w:cs="Times New Roman"/>
        </w:rPr>
        <w:t>dinamikusabb bővülés</w:t>
      </w:r>
      <w:r w:rsidR="006D26B3">
        <w:rPr>
          <w:rFonts w:ascii="Times New Roman" w:hAnsi="Times New Roman" w:cs="Times New Roman"/>
        </w:rPr>
        <w:t>e</w:t>
      </w:r>
      <w:r w:rsidR="005B2372" w:rsidRPr="005B77E6">
        <w:rPr>
          <w:rFonts w:ascii="Times New Roman" w:hAnsi="Times New Roman" w:cs="Times New Roman"/>
        </w:rPr>
        <w:t xml:space="preserve"> várható</w:t>
      </w:r>
      <w:r w:rsidRPr="005B77E6">
        <w:rPr>
          <w:rFonts w:ascii="Times New Roman" w:hAnsi="Times New Roman" w:cs="Times New Roman"/>
        </w:rPr>
        <w:t>, amely azonban 2019-től fokozatosan lassul</w:t>
      </w:r>
      <w:r w:rsidR="005B2372" w:rsidRPr="005B77E6">
        <w:rPr>
          <w:rFonts w:ascii="Times New Roman" w:hAnsi="Times New Roman" w:cs="Times New Roman"/>
        </w:rPr>
        <w:t>hat</w:t>
      </w:r>
      <w:r w:rsidRPr="005B77E6">
        <w:rPr>
          <w:rFonts w:ascii="Times New Roman" w:hAnsi="Times New Roman" w:cs="Times New Roman"/>
        </w:rPr>
        <w:t xml:space="preserve">. A gazdasági növekedés az ágazatok széles körében folytatódik. A fenntartható felzárkózási pálya szempontjából a pénzügyi stabilitás megőrzése mellett a termelékenység és a </w:t>
      </w:r>
      <w:r w:rsidR="00835979" w:rsidRPr="005B77E6">
        <w:rPr>
          <w:rFonts w:ascii="Times New Roman" w:hAnsi="Times New Roman" w:cs="Times New Roman"/>
        </w:rPr>
        <w:t>v</w:t>
      </w:r>
      <w:r w:rsidR="001B6E58">
        <w:rPr>
          <w:rFonts w:ascii="Times New Roman" w:hAnsi="Times New Roman" w:cs="Times New Roman"/>
        </w:rPr>
        <w:t>ersenyképesség javítás</w:t>
      </w:r>
      <w:r w:rsidR="006D26B3">
        <w:rPr>
          <w:rFonts w:ascii="Times New Roman" w:hAnsi="Times New Roman" w:cs="Times New Roman"/>
        </w:rPr>
        <w:t>ára kell összpontosítani</w:t>
      </w:r>
      <w:r w:rsidRPr="005B77E6">
        <w:rPr>
          <w:rFonts w:ascii="Times New Roman" w:hAnsi="Times New Roman" w:cs="Times New Roman"/>
        </w:rPr>
        <w:t>.</w:t>
      </w:r>
    </w:p>
    <w:p w:rsidR="00872336" w:rsidRPr="005B77E6" w:rsidRDefault="00872336" w:rsidP="005B77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57C8A" w:rsidRPr="005B77E6" w:rsidRDefault="00DB697A" w:rsidP="005B77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B77E6">
        <w:rPr>
          <w:rFonts w:ascii="Times New Roman" w:hAnsi="Times New Roman" w:cs="Times New Roman"/>
        </w:rPr>
        <w:t>A piaci várakozások szer</w:t>
      </w:r>
      <w:r w:rsidR="00CC5079" w:rsidRPr="005B77E6">
        <w:rPr>
          <w:rFonts w:ascii="Times New Roman" w:hAnsi="Times New Roman" w:cs="Times New Roman"/>
        </w:rPr>
        <w:t xml:space="preserve">int a </w:t>
      </w:r>
      <w:r w:rsidRPr="005B77E6">
        <w:rPr>
          <w:rFonts w:ascii="Times New Roman" w:hAnsi="Times New Roman" w:cs="Times New Roman"/>
        </w:rPr>
        <w:t xml:space="preserve">GDP </w:t>
      </w:r>
      <w:r w:rsidR="00CC5079" w:rsidRPr="005B77E6">
        <w:rPr>
          <w:rFonts w:ascii="Times New Roman" w:hAnsi="Times New Roman" w:cs="Times New Roman"/>
        </w:rPr>
        <w:t xml:space="preserve">idén 4,4 százalékkal emelkedik, majd </w:t>
      </w:r>
      <w:r w:rsidRPr="005B77E6">
        <w:rPr>
          <w:rFonts w:ascii="Times New Roman" w:hAnsi="Times New Roman" w:cs="Times New Roman"/>
        </w:rPr>
        <w:t xml:space="preserve">várhatóan jelentősebb lassulásba kezd. Az MNB előrejelzése szerint </w:t>
      </w:r>
      <w:r w:rsidR="00CC5079" w:rsidRPr="005B77E6">
        <w:rPr>
          <w:rFonts w:ascii="Times New Roman" w:hAnsi="Times New Roman" w:cs="Times New Roman"/>
        </w:rPr>
        <w:t xml:space="preserve">2019-ben 3,5, 2020-ban pedig 3,0 százalékos bővülésre </w:t>
      </w:r>
      <w:r w:rsidR="00CC5079" w:rsidRPr="005B77E6">
        <w:rPr>
          <w:rFonts w:ascii="Times New Roman" w:hAnsi="Times New Roman" w:cs="Times New Roman"/>
        </w:rPr>
        <w:lastRenderedPageBreak/>
        <w:t>számít</w:t>
      </w:r>
      <w:r w:rsidRPr="005B77E6">
        <w:rPr>
          <w:rFonts w:ascii="Times New Roman" w:hAnsi="Times New Roman" w:cs="Times New Roman"/>
        </w:rPr>
        <w:t>hat</w:t>
      </w:r>
      <w:r w:rsidR="00CC5079" w:rsidRPr="005B77E6">
        <w:rPr>
          <w:rFonts w:ascii="Times New Roman" w:hAnsi="Times New Roman" w:cs="Times New Roman"/>
        </w:rPr>
        <w:t>unk.</w:t>
      </w:r>
      <w:r w:rsidR="006D26B3">
        <w:rPr>
          <w:rStyle w:val="Lbjegyzet-hivatkozs"/>
          <w:rFonts w:ascii="Times New Roman" w:hAnsi="Times New Roman" w:cs="Times New Roman"/>
        </w:rPr>
        <w:footnoteReference w:id="2"/>
      </w:r>
      <w:r w:rsidR="00CC5079" w:rsidRPr="005B77E6">
        <w:rPr>
          <w:rFonts w:ascii="Times New Roman" w:hAnsi="Times New Roman" w:cs="Times New Roman"/>
        </w:rPr>
        <w:t xml:space="preserve"> A hazai növekedésben továbbra is </w:t>
      </w:r>
      <w:r w:rsidR="008E42DA">
        <w:rPr>
          <w:rFonts w:ascii="Times New Roman" w:hAnsi="Times New Roman" w:cs="Times New Roman"/>
        </w:rPr>
        <w:t>meghatározó</w:t>
      </w:r>
      <w:r w:rsidR="00CC5079" w:rsidRPr="005B77E6">
        <w:rPr>
          <w:rFonts w:ascii="Times New Roman" w:hAnsi="Times New Roman" w:cs="Times New Roman"/>
        </w:rPr>
        <w:t xml:space="preserve"> a belföldi kereslet erősödés</w:t>
      </w:r>
      <w:r w:rsidR="008E42DA">
        <w:rPr>
          <w:rFonts w:ascii="Times New Roman" w:hAnsi="Times New Roman" w:cs="Times New Roman"/>
        </w:rPr>
        <w:t>e, amelyben egyaránt jelentős szerepe van</w:t>
      </w:r>
      <w:r w:rsidR="00CC5079" w:rsidRPr="005B77E6">
        <w:rPr>
          <w:rFonts w:ascii="Times New Roman" w:hAnsi="Times New Roman" w:cs="Times New Roman"/>
        </w:rPr>
        <w:t xml:space="preserve"> a lakossági fogyasztás</w:t>
      </w:r>
      <w:r w:rsidR="008E42DA">
        <w:rPr>
          <w:rFonts w:ascii="Times New Roman" w:hAnsi="Times New Roman" w:cs="Times New Roman"/>
        </w:rPr>
        <w:t>nak és a beruházások bővülésének</w:t>
      </w:r>
      <w:r w:rsidR="00CC5079" w:rsidRPr="005B77E6">
        <w:rPr>
          <w:rFonts w:ascii="Times New Roman" w:hAnsi="Times New Roman" w:cs="Times New Roman"/>
        </w:rPr>
        <w:t xml:space="preserve">. </w:t>
      </w:r>
      <w:r w:rsidR="00E57C8A" w:rsidRPr="005B77E6">
        <w:rPr>
          <w:rFonts w:ascii="Times New Roman" w:hAnsi="Times New Roman" w:cs="Times New Roman"/>
        </w:rPr>
        <w:t xml:space="preserve">A hatéves bérmegállapodás, valamint a kedvező munkaerőpiaci folyamatok eredményeképp jelentős mértékben emelkedett a bruttó bértömeg. </w:t>
      </w:r>
      <w:r w:rsidR="00CC5079" w:rsidRPr="005B77E6">
        <w:rPr>
          <w:rFonts w:ascii="Times New Roman" w:hAnsi="Times New Roman" w:cs="Times New Roman"/>
        </w:rPr>
        <w:t xml:space="preserve">A fogyasztás növekedését a dinamikus reálbéremelkedés, a nettó pénzügyi vagyon magas szintje, valamint a lakáspiac fellendülésének másodkörös hatásai egyaránt támogatják. </w:t>
      </w:r>
    </w:p>
    <w:p w:rsidR="00DB697A" w:rsidRPr="005B77E6" w:rsidRDefault="00DB697A" w:rsidP="005B77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76E76" w:rsidRPr="005B77E6" w:rsidRDefault="00976E76" w:rsidP="005B77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B77E6">
        <w:rPr>
          <w:rFonts w:ascii="Times New Roman" w:hAnsi="Times New Roman" w:cs="Times New Roman"/>
        </w:rPr>
        <w:t>Az infláció az év hátralévő részében</w:t>
      </w:r>
      <w:r w:rsidR="005B2372" w:rsidRPr="005B77E6">
        <w:rPr>
          <w:rFonts w:ascii="Times New Roman" w:hAnsi="Times New Roman" w:cs="Times New Roman"/>
        </w:rPr>
        <w:t xml:space="preserve"> enyhén 3 százalék felett marad és az MNB várakozása szerint 2019 közepén éri el fenntartható módon és szerkezetben a 3 százalékos inflációs célt.</w:t>
      </w:r>
      <w:r w:rsidR="00370968" w:rsidRPr="005B77E6">
        <w:rPr>
          <w:rFonts w:ascii="Times New Roman" w:hAnsi="Times New Roman" w:cs="Times New Roman"/>
        </w:rPr>
        <w:t xml:space="preserve"> </w:t>
      </w:r>
      <w:r w:rsidRPr="005B77E6">
        <w:rPr>
          <w:rFonts w:ascii="Times New Roman" w:hAnsi="Times New Roman" w:cs="Times New Roman"/>
        </w:rPr>
        <w:t xml:space="preserve">A béremelések munkaerőköltségre gyakorolt hatását tompítják a bérmegállapodásban rögzített járulékcsökkentések. A munkaköltségek oldaláról jelentkező inflációs hatás </w:t>
      </w:r>
      <w:r w:rsidR="00370968" w:rsidRPr="005B77E6">
        <w:rPr>
          <w:rFonts w:ascii="Times New Roman" w:hAnsi="Times New Roman" w:cs="Times New Roman"/>
        </w:rPr>
        <w:t>az MNB várakozása</w:t>
      </w:r>
      <w:r w:rsidRPr="005B77E6">
        <w:rPr>
          <w:rFonts w:ascii="Times New Roman" w:hAnsi="Times New Roman" w:cs="Times New Roman"/>
        </w:rPr>
        <w:t xml:space="preserve"> szerint továbbra is mérsékelt marad.</w:t>
      </w:r>
    </w:p>
    <w:p w:rsidR="00321D47" w:rsidRPr="005B77E6" w:rsidRDefault="00321D47" w:rsidP="005B77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B697A" w:rsidRPr="005B77E6" w:rsidRDefault="00CC5079" w:rsidP="005B77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B77E6">
        <w:rPr>
          <w:rFonts w:ascii="Times New Roman" w:hAnsi="Times New Roman" w:cs="Times New Roman"/>
        </w:rPr>
        <w:t xml:space="preserve">Vállalati oldalról </w:t>
      </w:r>
      <w:r w:rsidR="004E192D" w:rsidRPr="005B77E6">
        <w:rPr>
          <w:rFonts w:ascii="Times New Roman" w:hAnsi="Times New Roman" w:cs="Times New Roman"/>
        </w:rPr>
        <w:t>rövid távon</w:t>
      </w:r>
      <w:r w:rsidRPr="005B77E6">
        <w:rPr>
          <w:rFonts w:ascii="Times New Roman" w:hAnsi="Times New Roman" w:cs="Times New Roman"/>
        </w:rPr>
        <w:t xml:space="preserve"> </w:t>
      </w:r>
      <w:r w:rsidR="004E192D" w:rsidRPr="005B77E6">
        <w:rPr>
          <w:rFonts w:ascii="Times New Roman" w:hAnsi="Times New Roman" w:cs="Times New Roman"/>
        </w:rPr>
        <w:t xml:space="preserve">folytatódhat az </w:t>
      </w:r>
      <w:r w:rsidRPr="005B77E6">
        <w:rPr>
          <w:rFonts w:ascii="Times New Roman" w:hAnsi="Times New Roman" w:cs="Times New Roman"/>
        </w:rPr>
        <w:t xml:space="preserve">erős beruházási </w:t>
      </w:r>
      <w:r w:rsidR="004E192D" w:rsidRPr="005B77E6">
        <w:rPr>
          <w:rFonts w:ascii="Times New Roman" w:hAnsi="Times New Roman" w:cs="Times New Roman"/>
        </w:rPr>
        <w:t>hajlandóság</w:t>
      </w:r>
      <w:r w:rsidRPr="005B77E6">
        <w:rPr>
          <w:rFonts w:ascii="Times New Roman" w:hAnsi="Times New Roman" w:cs="Times New Roman"/>
        </w:rPr>
        <w:t xml:space="preserve">. </w:t>
      </w:r>
      <w:r w:rsidR="00E57C8A" w:rsidRPr="005B77E6">
        <w:rPr>
          <w:rFonts w:ascii="Times New Roman" w:hAnsi="Times New Roman" w:cs="Times New Roman"/>
        </w:rPr>
        <w:t>A tőke</w:t>
      </w:r>
      <w:r w:rsidR="00842871">
        <w:rPr>
          <w:rFonts w:ascii="Times New Roman" w:hAnsi="Times New Roman" w:cs="Times New Roman"/>
        </w:rPr>
        <w:t>-</w:t>
      </w:r>
      <w:r w:rsidR="00E57C8A" w:rsidRPr="005B77E6">
        <w:rPr>
          <w:rFonts w:ascii="Times New Roman" w:hAnsi="Times New Roman" w:cs="Times New Roman"/>
        </w:rPr>
        <w:t>intenzív technológiák elterjedését a 2016 novemberében m</w:t>
      </w:r>
      <w:r w:rsidR="00842871">
        <w:rPr>
          <w:rFonts w:ascii="Times New Roman" w:hAnsi="Times New Roman" w:cs="Times New Roman"/>
        </w:rPr>
        <w:t>egkötött hosszú távú bér- és járulék-</w:t>
      </w:r>
      <w:r w:rsidR="00E57C8A" w:rsidRPr="005B77E6">
        <w:rPr>
          <w:rFonts w:ascii="Times New Roman" w:hAnsi="Times New Roman" w:cs="Times New Roman"/>
        </w:rPr>
        <w:t xml:space="preserve">megállapodás részeként az Európai Unióban rekordalacsony szintre csökkentett társasági adókulcs is segíti. </w:t>
      </w:r>
      <w:r w:rsidRPr="005B77E6">
        <w:rPr>
          <w:rFonts w:ascii="Times New Roman" w:hAnsi="Times New Roman" w:cs="Times New Roman"/>
        </w:rPr>
        <w:t>Az alapfolyamatok mellett egyedi nagyberuházások is hozzájárulnak a vállalati szektor beruházásainak növekedéséhez. 2020-b</w:t>
      </w:r>
      <w:r w:rsidR="004E192D" w:rsidRPr="005B77E6">
        <w:rPr>
          <w:rFonts w:ascii="Times New Roman" w:hAnsi="Times New Roman" w:cs="Times New Roman"/>
        </w:rPr>
        <w:t>an az uniós támogatások</w:t>
      </w:r>
      <w:r w:rsidRPr="005B77E6">
        <w:rPr>
          <w:rFonts w:ascii="Times New Roman" w:hAnsi="Times New Roman" w:cs="Times New Roman"/>
        </w:rPr>
        <w:t xml:space="preserve"> felhasználásának a csökkenése, illetve a lakásáfa visszaállítása következtében megtorpanó lakáspiaci ciklus beruházási aktivitást mérséklő hatását ellensúlyozza a BMW nyáron bejelentett nagyberuházása</w:t>
      </w:r>
      <w:r w:rsidR="00872336" w:rsidRPr="005B77E6">
        <w:rPr>
          <w:rFonts w:ascii="Times New Roman" w:hAnsi="Times New Roman" w:cs="Times New Roman"/>
        </w:rPr>
        <w:t xml:space="preserve">, </w:t>
      </w:r>
      <w:r w:rsidR="008E42DA">
        <w:rPr>
          <w:rFonts w:ascii="Times New Roman" w:hAnsi="Times New Roman" w:cs="Times New Roman"/>
        </w:rPr>
        <w:t xml:space="preserve">illetve egyéb jelentős volumenű </w:t>
      </w:r>
      <w:r w:rsidR="00872336" w:rsidRPr="005B77E6">
        <w:rPr>
          <w:rFonts w:ascii="Times New Roman" w:hAnsi="Times New Roman" w:cs="Times New Roman"/>
        </w:rPr>
        <w:t>beruházások (Mercedes, MOL)</w:t>
      </w:r>
      <w:r w:rsidRPr="005B77E6">
        <w:rPr>
          <w:rFonts w:ascii="Times New Roman" w:hAnsi="Times New Roman" w:cs="Times New Roman"/>
        </w:rPr>
        <w:t xml:space="preserve">. </w:t>
      </w:r>
    </w:p>
    <w:p w:rsidR="00E57C8A" w:rsidRPr="005B77E6" w:rsidRDefault="00E57C8A" w:rsidP="005B77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76E76" w:rsidRPr="005B77E6" w:rsidRDefault="006678B3" w:rsidP="005B77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B77E6">
        <w:rPr>
          <w:rFonts w:ascii="Times New Roman" w:hAnsi="Times New Roman" w:cs="Times New Roman"/>
        </w:rPr>
        <w:t>A demográfiai folyamatok, valamint a feszes mu</w:t>
      </w:r>
      <w:r w:rsidR="004E192D" w:rsidRPr="005B77E6">
        <w:rPr>
          <w:rFonts w:ascii="Times New Roman" w:hAnsi="Times New Roman" w:cs="Times New Roman"/>
        </w:rPr>
        <w:t>nkaerőpiac egyre inkább</w:t>
      </w:r>
      <w:r w:rsidRPr="005B77E6">
        <w:rPr>
          <w:rFonts w:ascii="Times New Roman" w:hAnsi="Times New Roman" w:cs="Times New Roman"/>
        </w:rPr>
        <w:t xml:space="preserve"> korlátot jelentenek a gazdaság</w:t>
      </w:r>
      <w:r w:rsidR="006569DD">
        <w:rPr>
          <w:rFonts w:ascii="Times New Roman" w:hAnsi="Times New Roman" w:cs="Times New Roman"/>
        </w:rPr>
        <w:t xml:space="preserve"> </w:t>
      </w:r>
      <w:r w:rsidRPr="005B77E6">
        <w:rPr>
          <w:rFonts w:ascii="Times New Roman" w:hAnsi="Times New Roman" w:cs="Times New Roman"/>
        </w:rPr>
        <w:t xml:space="preserve">bővülésére nézve, ezért a termelékenység növelése </w:t>
      </w:r>
      <w:r w:rsidR="001B26CF" w:rsidRPr="005B77E6">
        <w:rPr>
          <w:rFonts w:ascii="Times New Roman" w:hAnsi="Times New Roman" w:cs="Times New Roman"/>
        </w:rPr>
        <w:t>kulcstényezővé válik</w:t>
      </w:r>
      <w:r w:rsidRPr="005B77E6">
        <w:rPr>
          <w:rFonts w:ascii="Times New Roman" w:hAnsi="Times New Roman" w:cs="Times New Roman"/>
        </w:rPr>
        <w:t xml:space="preserve">. </w:t>
      </w:r>
    </w:p>
    <w:p w:rsidR="00976E76" w:rsidRDefault="00976E76" w:rsidP="00CC5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E5A" w:rsidRDefault="000459B3" w:rsidP="00D63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Egyensúlyban a hazai költségvetés</w:t>
      </w:r>
    </w:p>
    <w:p w:rsidR="00A17905" w:rsidRPr="00CD3EB8" w:rsidRDefault="0095295E" w:rsidP="00CD3E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B26CF" w:rsidRPr="00CD3EB8">
        <w:rPr>
          <w:rFonts w:ascii="Times New Roman" w:hAnsi="Times New Roman" w:cs="Times New Roman"/>
        </w:rPr>
        <w:t xml:space="preserve">A piaci várakozások szerint </w:t>
      </w:r>
      <w:r w:rsidR="00A65178" w:rsidRPr="00CD3EB8">
        <w:rPr>
          <w:rFonts w:ascii="Times New Roman" w:hAnsi="Times New Roman" w:cs="Times New Roman"/>
        </w:rPr>
        <w:t xml:space="preserve">idén és a következő években is alacsony lehet a költségvetés hiánya, ami a dinamikus gazdasági növekedéssel együtt a GDP-arányos államadósság-ráta folyamatos csökkenését eredményezi. </w:t>
      </w:r>
      <w:r w:rsidR="001B26CF" w:rsidRPr="00CD3EB8">
        <w:rPr>
          <w:rFonts w:ascii="Times New Roman" w:hAnsi="Times New Roman" w:cs="Times New Roman"/>
        </w:rPr>
        <w:t>Előrejelzések</w:t>
      </w:r>
      <w:r w:rsidR="00A65178" w:rsidRPr="00CD3EB8">
        <w:rPr>
          <w:rFonts w:ascii="Times New Roman" w:hAnsi="Times New Roman" w:cs="Times New Roman"/>
        </w:rPr>
        <w:t xml:space="preserve"> alapján 2018-ban a GDP 2,2–2,3 százaléka között alakul a</w:t>
      </w:r>
      <w:r w:rsidR="00842871">
        <w:rPr>
          <w:rFonts w:ascii="Times New Roman" w:hAnsi="Times New Roman" w:cs="Times New Roman"/>
        </w:rPr>
        <w:t>z</w:t>
      </w:r>
      <w:r w:rsidR="00A65178" w:rsidRPr="00CD3EB8">
        <w:rPr>
          <w:rFonts w:ascii="Times New Roman" w:hAnsi="Times New Roman" w:cs="Times New Roman"/>
        </w:rPr>
        <w:t xml:space="preserve"> </w:t>
      </w:r>
      <w:r w:rsidR="00842871">
        <w:rPr>
          <w:rFonts w:ascii="Times New Roman" w:hAnsi="Times New Roman" w:cs="Times New Roman"/>
        </w:rPr>
        <w:t>államháztartás</w:t>
      </w:r>
      <w:r w:rsidR="00A65178" w:rsidRPr="00CD3EB8">
        <w:rPr>
          <w:rFonts w:ascii="Times New Roman" w:hAnsi="Times New Roman" w:cs="Times New Roman"/>
        </w:rPr>
        <w:t xml:space="preserve"> hiánya, míg 2019-ben a törvényi előirányzattal összhangban 1,7–1,8 százalék, 2020-ban pedig 1,4–1,8 százalék lehet az eredményszemléletű deficit.</w:t>
      </w:r>
      <w:r w:rsidR="00A17905" w:rsidRPr="00CD3EB8">
        <w:rPr>
          <w:rFonts w:ascii="Times New Roman" w:hAnsi="Times New Roman" w:cs="Times New Roman"/>
        </w:rPr>
        <w:t xml:space="preserve"> A GDP-arányos államadósság-mutató 2018. év végére a GDP 72,4 százalékára csökken, majd a horizont végére 67 százalék közelébe mérséklődik a devizaadósság folytatódó csökkenése mellett.</w:t>
      </w:r>
    </w:p>
    <w:p w:rsidR="001B26CF" w:rsidRPr="00CD3EB8" w:rsidRDefault="001B26CF" w:rsidP="00CD3E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D1805" w:rsidRPr="00CD3EB8" w:rsidRDefault="0095295E" w:rsidP="00CD3E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b</w:t>
      </w:r>
      <w:r w:rsidR="00AE736C" w:rsidRPr="0095295E">
        <w:rPr>
          <w:rFonts w:ascii="Times New Roman" w:hAnsi="Times New Roman" w:cs="Times New Roman"/>
          <w:b/>
        </w:rPr>
        <w:t>evételi oldalon</w:t>
      </w:r>
      <w:r w:rsidR="00AE736C" w:rsidRPr="00CD3EB8">
        <w:rPr>
          <w:rFonts w:ascii="Times New Roman" w:hAnsi="Times New Roman" w:cs="Times New Roman"/>
        </w:rPr>
        <w:t xml:space="preserve"> a</w:t>
      </w:r>
      <w:r w:rsidR="00EA7D3F" w:rsidRPr="00CD3EB8">
        <w:rPr>
          <w:rFonts w:ascii="Times New Roman" w:hAnsi="Times New Roman" w:cs="Times New Roman"/>
        </w:rPr>
        <w:t xml:space="preserve"> hat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>ves b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>rmeg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llapod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s hat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s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ra dinamiz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l</w:t>
      </w:r>
      <w:r w:rsidR="00EA7D3F" w:rsidRPr="00CD3EB8">
        <w:rPr>
          <w:rFonts w:ascii="Times New Roman" w:hAnsi="Times New Roman" w:cs="Times New Roman" w:hint="eastAsia"/>
        </w:rPr>
        <w:t>ó</w:t>
      </w:r>
      <w:r w:rsidR="00EA7D3F" w:rsidRPr="00CD3EB8">
        <w:rPr>
          <w:rFonts w:ascii="Times New Roman" w:hAnsi="Times New Roman" w:cs="Times New Roman"/>
        </w:rPr>
        <w:t>d</w:t>
      </w:r>
      <w:r w:rsidR="00EA7D3F" w:rsidRPr="00CD3EB8">
        <w:rPr>
          <w:rFonts w:ascii="Times New Roman" w:hAnsi="Times New Roman" w:cs="Times New Roman" w:hint="eastAsia"/>
        </w:rPr>
        <w:t>ó</w:t>
      </w:r>
      <w:r w:rsidR="00EA7D3F" w:rsidRPr="00CD3EB8">
        <w:rPr>
          <w:rFonts w:ascii="Times New Roman" w:hAnsi="Times New Roman" w:cs="Times New Roman"/>
        </w:rPr>
        <w:t xml:space="preserve"> munkaer</w:t>
      </w:r>
      <w:r w:rsidR="00EA7D3F" w:rsidRPr="00CD3EB8">
        <w:rPr>
          <w:rFonts w:ascii="Times New Roman" w:hAnsi="Times New Roman" w:cs="Times New Roman" w:hint="eastAsia"/>
        </w:rPr>
        <w:t>ő</w:t>
      </w:r>
      <w:r w:rsidR="00EA7D3F" w:rsidRPr="00CD3EB8">
        <w:rPr>
          <w:rFonts w:ascii="Times New Roman" w:hAnsi="Times New Roman" w:cs="Times New Roman"/>
        </w:rPr>
        <w:t xml:space="preserve">piaci 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 xml:space="preserve">s az 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>l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>nk</w:t>
      </w:r>
      <w:r w:rsidR="00EA7D3F" w:rsidRPr="00CD3EB8">
        <w:rPr>
          <w:rFonts w:ascii="Times New Roman" w:hAnsi="Times New Roman" w:cs="Times New Roman" w:hint="eastAsia"/>
        </w:rPr>
        <w:t>ü</w:t>
      </w:r>
      <w:r w:rsidR="00EA7D3F" w:rsidRPr="00CD3EB8">
        <w:rPr>
          <w:rFonts w:ascii="Times New Roman" w:hAnsi="Times New Roman" w:cs="Times New Roman"/>
        </w:rPr>
        <w:t>l</w:t>
      </w:r>
      <w:r w:rsidR="00EA7D3F" w:rsidRPr="00CD3EB8">
        <w:rPr>
          <w:rFonts w:ascii="Times New Roman" w:hAnsi="Times New Roman" w:cs="Times New Roman" w:hint="eastAsia"/>
        </w:rPr>
        <w:t>ő</w:t>
      </w:r>
      <w:r w:rsidR="00EA7D3F" w:rsidRPr="00CD3EB8">
        <w:rPr>
          <w:rFonts w:ascii="Times New Roman" w:hAnsi="Times New Roman" w:cs="Times New Roman"/>
        </w:rPr>
        <w:t xml:space="preserve"> fogyaszt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s n</w:t>
      </w:r>
      <w:r w:rsidR="00EA7D3F" w:rsidRPr="00CD3EB8">
        <w:rPr>
          <w:rFonts w:ascii="Times New Roman" w:hAnsi="Times New Roman" w:cs="Times New Roman" w:hint="eastAsia"/>
        </w:rPr>
        <w:t>ö</w:t>
      </w:r>
      <w:r w:rsidR="00EA7D3F" w:rsidRPr="00CD3EB8">
        <w:rPr>
          <w:rFonts w:ascii="Times New Roman" w:hAnsi="Times New Roman" w:cs="Times New Roman"/>
        </w:rPr>
        <w:t>velt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>k az ad</w:t>
      </w:r>
      <w:r w:rsidR="00EA7D3F" w:rsidRPr="00CD3EB8">
        <w:rPr>
          <w:rFonts w:ascii="Times New Roman" w:hAnsi="Times New Roman" w:cs="Times New Roman" w:hint="eastAsia"/>
        </w:rPr>
        <w:t>ó</w:t>
      </w:r>
      <w:r w:rsidR="00EA7D3F" w:rsidRPr="00CD3EB8">
        <w:rPr>
          <w:rFonts w:ascii="Times New Roman" w:hAnsi="Times New Roman" w:cs="Times New Roman"/>
        </w:rPr>
        <w:t xml:space="preserve">alapokat. </w:t>
      </w:r>
      <w:r w:rsidR="00EA7D3F" w:rsidRPr="0095295E">
        <w:rPr>
          <w:rFonts w:ascii="Times New Roman" w:hAnsi="Times New Roman" w:cs="Times New Roman"/>
          <w:b/>
        </w:rPr>
        <w:t>2017-ben mintegy 630 milli</w:t>
      </w:r>
      <w:r w:rsidR="00EA7D3F" w:rsidRPr="0095295E">
        <w:rPr>
          <w:rFonts w:ascii="Times New Roman" w:hAnsi="Times New Roman" w:cs="Times New Roman" w:hint="eastAsia"/>
          <w:b/>
        </w:rPr>
        <w:t>á</w:t>
      </w:r>
      <w:r w:rsidR="00EA7D3F" w:rsidRPr="0095295E">
        <w:rPr>
          <w:rFonts w:ascii="Times New Roman" w:hAnsi="Times New Roman" w:cs="Times New Roman"/>
          <w:b/>
        </w:rPr>
        <w:t>rd forinttal t</w:t>
      </w:r>
      <w:r w:rsidR="00EA7D3F" w:rsidRPr="0095295E">
        <w:rPr>
          <w:rFonts w:ascii="Times New Roman" w:hAnsi="Times New Roman" w:cs="Times New Roman" w:hint="eastAsia"/>
          <w:b/>
        </w:rPr>
        <w:t>ö</w:t>
      </w:r>
      <w:r w:rsidR="00EA7D3F" w:rsidRPr="0095295E">
        <w:rPr>
          <w:rFonts w:ascii="Times New Roman" w:hAnsi="Times New Roman" w:cs="Times New Roman"/>
          <w:b/>
        </w:rPr>
        <w:t>bb ad</w:t>
      </w:r>
      <w:r w:rsidR="00EA7D3F" w:rsidRPr="0095295E">
        <w:rPr>
          <w:rFonts w:ascii="Times New Roman" w:hAnsi="Times New Roman" w:cs="Times New Roman" w:hint="eastAsia"/>
          <w:b/>
        </w:rPr>
        <w:t>ó</w:t>
      </w:r>
      <w:r w:rsidR="00EA7D3F" w:rsidRPr="0095295E">
        <w:rPr>
          <w:rFonts w:ascii="Times New Roman" w:hAnsi="Times New Roman" w:cs="Times New Roman"/>
          <w:b/>
        </w:rPr>
        <w:t xml:space="preserve">- </w:t>
      </w:r>
      <w:r w:rsidR="00EA7D3F" w:rsidRPr="0095295E">
        <w:rPr>
          <w:rFonts w:ascii="Times New Roman" w:hAnsi="Times New Roman" w:cs="Times New Roman" w:hint="eastAsia"/>
          <w:b/>
        </w:rPr>
        <w:t>é</w:t>
      </w:r>
      <w:r w:rsidR="00EA7D3F" w:rsidRPr="0095295E">
        <w:rPr>
          <w:rFonts w:ascii="Times New Roman" w:hAnsi="Times New Roman" w:cs="Times New Roman"/>
          <w:b/>
        </w:rPr>
        <w:t>s j</w:t>
      </w:r>
      <w:r w:rsidR="00EA7D3F" w:rsidRPr="0095295E">
        <w:rPr>
          <w:rFonts w:ascii="Times New Roman" w:hAnsi="Times New Roman" w:cs="Times New Roman" w:hint="eastAsia"/>
          <w:b/>
        </w:rPr>
        <w:t>á</w:t>
      </w:r>
      <w:r w:rsidR="00EA7D3F" w:rsidRPr="0095295E">
        <w:rPr>
          <w:rFonts w:ascii="Times New Roman" w:hAnsi="Times New Roman" w:cs="Times New Roman"/>
          <w:b/>
        </w:rPr>
        <w:t>rul</w:t>
      </w:r>
      <w:r w:rsidR="00EA7D3F" w:rsidRPr="0095295E">
        <w:rPr>
          <w:rFonts w:ascii="Times New Roman" w:hAnsi="Times New Roman" w:cs="Times New Roman" w:hint="eastAsia"/>
          <w:b/>
        </w:rPr>
        <w:t>é</w:t>
      </w:r>
      <w:r w:rsidR="00EA7D3F" w:rsidRPr="0095295E">
        <w:rPr>
          <w:rFonts w:ascii="Times New Roman" w:hAnsi="Times New Roman" w:cs="Times New Roman"/>
          <w:b/>
        </w:rPr>
        <w:t>kbev</w:t>
      </w:r>
      <w:r w:rsidR="00EA7D3F" w:rsidRPr="0095295E">
        <w:rPr>
          <w:rFonts w:ascii="Times New Roman" w:hAnsi="Times New Roman" w:cs="Times New Roman" w:hint="eastAsia"/>
          <w:b/>
        </w:rPr>
        <w:t>é</w:t>
      </w:r>
      <w:r w:rsidR="00EA7D3F" w:rsidRPr="0095295E">
        <w:rPr>
          <w:rFonts w:ascii="Times New Roman" w:hAnsi="Times New Roman" w:cs="Times New Roman"/>
          <w:b/>
        </w:rPr>
        <w:t xml:space="preserve">tel </w:t>
      </w:r>
      <w:r w:rsidR="00EA7D3F" w:rsidRPr="0095295E">
        <w:rPr>
          <w:rFonts w:ascii="Times New Roman" w:hAnsi="Times New Roman" w:cs="Times New Roman" w:hint="eastAsia"/>
          <w:b/>
        </w:rPr>
        <w:t>é</w:t>
      </w:r>
      <w:r w:rsidR="00EA7D3F" w:rsidRPr="0095295E">
        <w:rPr>
          <w:rFonts w:ascii="Times New Roman" w:hAnsi="Times New Roman" w:cs="Times New Roman"/>
          <w:b/>
        </w:rPr>
        <w:t>rkezett, mint 2016-ban. Az ad</w:t>
      </w:r>
      <w:r w:rsidR="00EA7D3F" w:rsidRPr="0095295E">
        <w:rPr>
          <w:rFonts w:ascii="Times New Roman" w:hAnsi="Times New Roman" w:cs="Times New Roman" w:hint="eastAsia"/>
          <w:b/>
        </w:rPr>
        <w:t>ó</w:t>
      </w:r>
      <w:r w:rsidR="00EA7D3F" w:rsidRPr="0095295E">
        <w:rPr>
          <w:rFonts w:ascii="Times New Roman" w:hAnsi="Times New Roman" w:cs="Times New Roman"/>
          <w:b/>
        </w:rPr>
        <w:t xml:space="preserve">- </w:t>
      </w:r>
      <w:r w:rsidR="00EA7D3F" w:rsidRPr="0095295E">
        <w:rPr>
          <w:rFonts w:ascii="Times New Roman" w:hAnsi="Times New Roman" w:cs="Times New Roman" w:hint="eastAsia"/>
          <w:b/>
        </w:rPr>
        <w:t>é</w:t>
      </w:r>
      <w:r w:rsidR="00EA7D3F" w:rsidRPr="0095295E">
        <w:rPr>
          <w:rFonts w:ascii="Times New Roman" w:hAnsi="Times New Roman" w:cs="Times New Roman"/>
          <w:b/>
        </w:rPr>
        <w:t>s j</w:t>
      </w:r>
      <w:r w:rsidR="00EA7D3F" w:rsidRPr="0095295E">
        <w:rPr>
          <w:rFonts w:ascii="Times New Roman" w:hAnsi="Times New Roman" w:cs="Times New Roman" w:hint="eastAsia"/>
          <w:b/>
        </w:rPr>
        <w:t>á</w:t>
      </w:r>
      <w:r w:rsidR="00EA7D3F" w:rsidRPr="0095295E">
        <w:rPr>
          <w:rFonts w:ascii="Times New Roman" w:hAnsi="Times New Roman" w:cs="Times New Roman"/>
          <w:b/>
        </w:rPr>
        <w:t>rul</w:t>
      </w:r>
      <w:r w:rsidR="00EA7D3F" w:rsidRPr="0095295E">
        <w:rPr>
          <w:rFonts w:ascii="Times New Roman" w:hAnsi="Times New Roman" w:cs="Times New Roman" w:hint="eastAsia"/>
          <w:b/>
        </w:rPr>
        <w:t>é</w:t>
      </w:r>
      <w:r w:rsidR="00EA7D3F" w:rsidRPr="0095295E">
        <w:rPr>
          <w:rFonts w:ascii="Times New Roman" w:hAnsi="Times New Roman" w:cs="Times New Roman"/>
          <w:b/>
        </w:rPr>
        <w:t>kcs</w:t>
      </w:r>
      <w:r w:rsidR="00EA7D3F" w:rsidRPr="0095295E">
        <w:rPr>
          <w:rFonts w:ascii="Times New Roman" w:hAnsi="Times New Roman" w:cs="Times New Roman" w:hint="eastAsia"/>
          <w:b/>
        </w:rPr>
        <w:t>ö</w:t>
      </w:r>
      <w:r w:rsidR="00EA7D3F" w:rsidRPr="0095295E">
        <w:rPr>
          <w:rFonts w:ascii="Times New Roman" w:hAnsi="Times New Roman" w:cs="Times New Roman"/>
          <w:b/>
        </w:rPr>
        <w:t>kkent</w:t>
      </w:r>
      <w:r w:rsidR="00EA7D3F" w:rsidRPr="0095295E">
        <w:rPr>
          <w:rFonts w:ascii="Times New Roman" w:hAnsi="Times New Roman" w:cs="Times New Roman" w:hint="eastAsia"/>
          <w:b/>
        </w:rPr>
        <w:t>é</w:t>
      </w:r>
      <w:r w:rsidR="00EA7D3F" w:rsidRPr="0095295E">
        <w:rPr>
          <w:rFonts w:ascii="Times New Roman" w:hAnsi="Times New Roman" w:cs="Times New Roman"/>
          <w:b/>
        </w:rPr>
        <w:t>sek hat</w:t>
      </w:r>
      <w:r w:rsidR="00EA7D3F" w:rsidRPr="0095295E">
        <w:rPr>
          <w:rFonts w:ascii="Times New Roman" w:hAnsi="Times New Roman" w:cs="Times New Roman" w:hint="eastAsia"/>
          <w:b/>
        </w:rPr>
        <w:t>á</w:t>
      </w:r>
      <w:r w:rsidR="00EA7D3F" w:rsidRPr="0095295E">
        <w:rPr>
          <w:rFonts w:ascii="Times New Roman" w:hAnsi="Times New Roman" w:cs="Times New Roman"/>
          <w:b/>
        </w:rPr>
        <w:t>s</w:t>
      </w:r>
      <w:r w:rsidR="00EA7D3F" w:rsidRPr="0095295E">
        <w:rPr>
          <w:rFonts w:ascii="Times New Roman" w:hAnsi="Times New Roman" w:cs="Times New Roman" w:hint="eastAsia"/>
          <w:b/>
        </w:rPr>
        <w:t>á</w:t>
      </w:r>
      <w:r w:rsidR="00EA7D3F" w:rsidRPr="0095295E">
        <w:rPr>
          <w:rFonts w:ascii="Times New Roman" w:hAnsi="Times New Roman" w:cs="Times New Roman"/>
          <w:b/>
        </w:rPr>
        <w:t>t b</w:t>
      </w:r>
      <w:r w:rsidR="00EA7D3F" w:rsidRPr="0095295E">
        <w:rPr>
          <w:rFonts w:ascii="Times New Roman" w:hAnsi="Times New Roman" w:cs="Times New Roman" w:hint="eastAsia"/>
          <w:b/>
        </w:rPr>
        <w:t>ő</w:t>
      </w:r>
      <w:r w:rsidR="00EA7D3F" w:rsidRPr="0095295E">
        <w:rPr>
          <w:rFonts w:ascii="Times New Roman" w:hAnsi="Times New Roman" w:cs="Times New Roman"/>
          <w:b/>
        </w:rPr>
        <w:t>ven ellent</w:t>
      </w:r>
      <w:r w:rsidR="00EA7D3F" w:rsidRPr="0095295E">
        <w:rPr>
          <w:rFonts w:ascii="Times New Roman" w:hAnsi="Times New Roman" w:cs="Times New Roman" w:hint="eastAsia"/>
          <w:b/>
        </w:rPr>
        <w:t>é</w:t>
      </w:r>
      <w:r w:rsidR="00EA7D3F" w:rsidRPr="0095295E">
        <w:rPr>
          <w:rFonts w:ascii="Times New Roman" w:hAnsi="Times New Roman" w:cs="Times New Roman"/>
          <w:b/>
        </w:rPr>
        <w:t>telezt</w:t>
      </w:r>
      <w:r w:rsidR="00EA7D3F" w:rsidRPr="0095295E">
        <w:rPr>
          <w:rFonts w:ascii="Times New Roman" w:hAnsi="Times New Roman" w:cs="Times New Roman" w:hint="eastAsia"/>
          <w:b/>
        </w:rPr>
        <w:t>é</w:t>
      </w:r>
      <w:r w:rsidR="00EA7D3F" w:rsidRPr="0095295E">
        <w:rPr>
          <w:rFonts w:ascii="Times New Roman" w:hAnsi="Times New Roman" w:cs="Times New Roman"/>
          <w:b/>
        </w:rPr>
        <w:t>k a kedvez</w:t>
      </w:r>
      <w:r w:rsidR="00EA7D3F" w:rsidRPr="0095295E">
        <w:rPr>
          <w:rFonts w:ascii="Times New Roman" w:hAnsi="Times New Roman" w:cs="Times New Roman" w:hint="eastAsia"/>
          <w:b/>
        </w:rPr>
        <w:t>ő</w:t>
      </w:r>
      <w:r w:rsidR="00EA7D3F" w:rsidRPr="0095295E">
        <w:rPr>
          <w:rFonts w:ascii="Times New Roman" w:hAnsi="Times New Roman" w:cs="Times New Roman"/>
          <w:b/>
        </w:rPr>
        <w:t xml:space="preserve"> gazdas</w:t>
      </w:r>
      <w:r w:rsidR="00EA7D3F" w:rsidRPr="0095295E">
        <w:rPr>
          <w:rFonts w:ascii="Times New Roman" w:hAnsi="Times New Roman" w:cs="Times New Roman" w:hint="eastAsia"/>
          <w:b/>
        </w:rPr>
        <w:t>á</w:t>
      </w:r>
      <w:r w:rsidR="00EA7D3F" w:rsidRPr="0095295E">
        <w:rPr>
          <w:rFonts w:ascii="Times New Roman" w:hAnsi="Times New Roman" w:cs="Times New Roman"/>
          <w:b/>
        </w:rPr>
        <w:t>gi folyamatok.</w:t>
      </w:r>
      <w:r w:rsidR="00EA7D3F" w:rsidRPr="00CD3EB8">
        <w:rPr>
          <w:rFonts w:ascii="Times New Roman" w:hAnsi="Times New Roman" w:cs="Times New Roman"/>
        </w:rPr>
        <w:t xml:space="preserve"> A nagyobb</w:t>
      </w:r>
      <w:r w:rsidR="00A84C37" w:rsidRPr="00CD3EB8">
        <w:rPr>
          <w:rFonts w:ascii="Times New Roman" w:hAnsi="Times New Roman" w:cs="Times New Roman"/>
        </w:rPr>
        <w:t xml:space="preserve"> </w:t>
      </w:r>
      <w:r w:rsidR="00EA7D3F" w:rsidRPr="00CD3EB8">
        <w:rPr>
          <w:rFonts w:ascii="Times New Roman" w:hAnsi="Times New Roman" w:cs="Times New Roman"/>
        </w:rPr>
        <w:t>b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>rki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raml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s k</w:t>
      </w:r>
      <w:r w:rsidR="00EA7D3F" w:rsidRPr="00CD3EB8">
        <w:rPr>
          <w:rFonts w:ascii="Times New Roman" w:hAnsi="Times New Roman" w:cs="Times New Roman" w:hint="eastAsia"/>
        </w:rPr>
        <w:t>ö</w:t>
      </w:r>
      <w:r w:rsidR="00EA7D3F" w:rsidRPr="00CD3EB8">
        <w:rPr>
          <w:rFonts w:ascii="Times New Roman" w:hAnsi="Times New Roman" w:cs="Times New Roman"/>
        </w:rPr>
        <w:t>vetkezt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>ben mintegy 200 milli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rd forinttal magasabb bev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>tel realiz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l</w:t>
      </w:r>
      <w:r w:rsidR="00EA7D3F" w:rsidRPr="00CD3EB8">
        <w:rPr>
          <w:rFonts w:ascii="Times New Roman" w:hAnsi="Times New Roman" w:cs="Times New Roman" w:hint="eastAsia"/>
        </w:rPr>
        <w:t>ó</w:t>
      </w:r>
      <w:r w:rsidR="00EA7D3F" w:rsidRPr="00CD3EB8">
        <w:rPr>
          <w:rFonts w:ascii="Times New Roman" w:hAnsi="Times New Roman" w:cs="Times New Roman"/>
        </w:rPr>
        <w:t>dott a szem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>lyi j</w:t>
      </w:r>
      <w:r w:rsidR="00EA7D3F" w:rsidRPr="00CD3EB8">
        <w:rPr>
          <w:rFonts w:ascii="Times New Roman" w:hAnsi="Times New Roman" w:cs="Times New Roman" w:hint="eastAsia"/>
        </w:rPr>
        <w:t>ö</w:t>
      </w:r>
      <w:r w:rsidR="00EA7D3F" w:rsidRPr="00CD3EB8">
        <w:rPr>
          <w:rFonts w:ascii="Times New Roman" w:hAnsi="Times New Roman" w:cs="Times New Roman"/>
        </w:rPr>
        <w:t>vedelemad</w:t>
      </w:r>
      <w:r w:rsidR="00EA7D3F" w:rsidRPr="00CD3EB8">
        <w:rPr>
          <w:rFonts w:ascii="Times New Roman" w:hAnsi="Times New Roman" w:cs="Times New Roman" w:hint="eastAsia"/>
        </w:rPr>
        <w:t>ó</w:t>
      </w:r>
      <w:r w:rsidR="00EA7D3F" w:rsidRPr="00CD3EB8">
        <w:rPr>
          <w:rFonts w:ascii="Times New Roman" w:hAnsi="Times New Roman" w:cs="Times New Roman"/>
        </w:rPr>
        <w:t>b</w:t>
      </w:r>
      <w:r w:rsidR="00EA7D3F" w:rsidRPr="00CD3EB8">
        <w:rPr>
          <w:rFonts w:ascii="Times New Roman" w:hAnsi="Times New Roman" w:cs="Times New Roman" w:hint="eastAsia"/>
        </w:rPr>
        <w:t>ó</w:t>
      </w:r>
      <w:r w:rsidR="00EA7D3F" w:rsidRPr="00CD3EB8">
        <w:rPr>
          <w:rFonts w:ascii="Times New Roman" w:hAnsi="Times New Roman" w:cs="Times New Roman"/>
        </w:rPr>
        <w:t>l 2016-hoz k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 xml:space="preserve">pest. Az 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ltal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nos</w:t>
      </w:r>
      <w:r w:rsidR="00A84C37" w:rsidRPr="00CD3EB8">
        <w:rPr>
          <w:rFonts w:ascii="Times New Roman" w:hAnsi="Times New Roman" w:cs="Times New Roman"/>
        </w:rPr>
        <w:t xml:space="preserve"> </w:t>
      </w:r>
      <w:r w:rsidR="00EA7D3F" w:rsidRPr="00CD3EB8">
        <w:rPr>
          <w:rFonts w:ascii="Times New Roman" w:hAnsi="Times New Roman" w:cs="Times New Roman"/>
        </w:rPr>
        <w:t>forgalmi ad</w:t>
      </w:r>
      <w:r w:rsidR="00EA7D3F" w:rsidRPr="00CD3EB8">
        <w:rPr>
          <w:rFonts w:ascii="Times New Roman" w:hAnsi="Times New Roman" w:cs="Times New Roman" w:hint="eastAsia"/>
        </w:rPr>
        <w:t>ó</w:t>
      </w:r>
      <w:r w:rsidR="00EA7D3F" w:rsidRPr="00CD3EB8">
        <w:rPr>
          <w:rFonts w:ascii="Times New Roman" w:hAnsi="Times New Roman" w:cs="Times New Roman"/>
        </w:rPr>
        <w:t xml:space="preserve"> bev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>tel 235 milli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rd forinttal magasabb lett. A t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rsas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gi ad</w:t>
      </w:r>
      <w:r w:rsidR="00EA7D3F" w:rsidRPr="00CD3EB8">
        <w:rPr>
          <w:rFonts w:ascii="Times New Roman" w:hAnsi="Times New Roman" w:cs="Times New Roman" w:hint="eastAsia"/>
        </w:rPr>
        <w:t>ó</w:t>
      </w:r>
      <w:r w:rsidR="00EA7D3F" w:rsidRPr="00CD3EB8">
        <w:rPr>
          <w:rFonts w:ascii="Times New Roman" w:hAnsi="Times New Roman" w:cs="Times New Roman"/>
        </w:rPr>
        <w:t>b</w:t>
      </w:r>
      <w:r w:rsidR="00EA7D3F" w:rsidRPr="00CD3EB8">
        <w:rPr>
          <w:rFonts w:ascii="Times New Roman" w:hAnsi="Times New Roman" w:cs="Times New Roman" w:hint="eastAsia"/>
        </w:rPr>
        <w:t>ó</w:t>
      </w:r>
      <w:r w:rsidR="00EA7D3F" w:rsidRPr="00CD3EB8">
        <w:rPr>
          <w:rFonts w:ascii="Times New Roman" w:hAnsi="Times New Roman" w:cs="Times New Roman"/>
        </w:rPr>
        <w:t>l 625 milli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rd forint bev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>tel keletkezett, ami az el</w:t>
      </w:r>
      <w:r w:rsidR="00EA7D3F" w:rsidRPr="00CD3EB8">
        <w:rPr>
          <w:rFonts w:ascii="Times New Roman" w:hAnsi="Times New Roman" w:cs="Times New Roman" w:hint="eastAsia"/>
        </w:rPr>
        <w:t>ő</w:t>
      </w:r>
      <w:r w:rsidR="00EA7D3F" w:rsidRPr="00CD3EB8">
        <w:rPr>
          <w:rFonts w:ascii="Times New Roman" w:hAnsi="Times New Roman" w:cs="Times New Roman"/>
        </w:rPr>
        <w:t>z</w:t>
      </w:r>
      <w:r w:rsidR="00EA7D3F" w:rsidRPr="00CD3EB8">
        <w:rPr>
          <w:rFonts w:ascii="Times New Roman" w:hAnsi="Times New Roman" w:cs="Times New Roman" w:hint="eastAsia"/>
        </w:rPr>
        <w:t>ő</w:t>
      </w:r>
      <w:r w:rsidR="00EA7D3F" w:rsidRPr="00CD3EB8">
        <w:rPr>
          <w:rFonts w:ascii="Times New Roman" w:hAnsi="Times New Roman" w:cs="Times New Roman"/>
        </w:rPr>
        <w:t xml:space="preserve"> 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>vit</w:t>
      </w:r>
      <w:r w:rsidR="00EA7D3F" w:rsidRPr="00CD3EB8">
        <w:rPr>
          <w:rFonts w:ascii="Times New Roman" w:hAnsi="Times New Roman" w:cs="Times New Roman" w:hint="eastAsia"/>
        </w:rPr>
        <w:t>ő</w:t>
      </w:r>
      <w:r w:rsidR="00EA7D3F" w:rsidRPr="00CD3EB8">
        <w:rPr>
          <w:rFonts w:ascii="Times New Roman" w:hAnsi="Times New Roman" w:cs="Times New Roman"/>
        </w:rPr>
        <w:t>l 58 milli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rd forinttal</w:t>
      </w:r>
      <w:r w:rsidR="00A84C37" w:rsidRPr="00CD3EB8">
        <w:rPr>
          <w:rFonts w:ascii="Times New Roman" w:hAnsi="Times New Roman" w:cs="Times New Roman"/>
        </w:rPr>
        <w:t xml:space="preserve"> </w:t>
      </w:r>
      <w:r w:rsidR="00EA7D3F" w:rsidRPr="00CD3EB8">
        <w:rPr>
          <w:rFonts w:ascii="Times New Roman" w:hAnsi="Times New Roman" w:cs="Times New Roman"/>
        </w:rPr>
        <w:t>maradt el.</w:t>
      </w:r>
      <w:r w:rsidR="00A84C37" w:rsidRPr="00CD3EB8">
        <w:rPr>
          <w:rFonts w:ascii="Times New Roman" w:hAnsi="Times New Roman" w:cs="Times New Roman"/>
        </w:rPr>
        <w:t xml:space="preserve"> </w:t>
      </w:r>
      <w:r w:rsidR="00EA7D3F" w:rsidRPr="00CD3EB8">
        <w:rPr>
          <w:rFonts w:ascii="Times New Roman" w:hAnsi="Times New Roman" w:cs="Times New Roman"/>
        </w:rPr>
        <w:t>A hat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>ves b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>rmeg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llapod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 xml:space="preserve">s munkapiacot 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>rint</w:t>
      </w:r>
      <w:r w:rsidR="00EA7D3F" w:rsidRPr="00CD3EB8">
        <w:rPr>
          <w:rFonts w:ascii="Times New Roman" w:hAnsi="Times New Roman" w:cs="Times New Roman" w:hint="eastAsia"/>
        </w:rPr>
        <w:t>ő</w:t>
      </w:r>
      <w:r w:rsidR="00EA7D3F" w:rsidRPr="00CD3EB8">
        <w:rPr>
          <w:rFonts w:ascii="Times New Roman" w:hAnsi="Times New Roman" w:cs="Times New Roman"/>
        </w:rPr>
        <w:t xml:space="preserve"> v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ltoz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sainak k</w:t>
      </w:r>
      <w:r w:rsidR="00EA7D3F" w:rsidRPr="00CD3EB8">
        <w:rPr>
          <w:rFonts w:ascii="Times New Roman" w:hAnsi="Times New Roman" w:cs="Times New Roman" w:hint="eastAsia"/>
        </w:rPr>
        <w:t>ö</w:t>
      </w:r>
      <w:r w:rsidR="00EA7D3F" w:rsidRPr="00CD3EB8">
        <w:rPr>
          <w:rFonts w:ascii="Times New Roman" w:hAnsi="Times New Roman" w:cs="Times New Roman"/>
        </w:rPr>
        <w:t>lts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>gvet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>si egyenlegre gyakorolt hat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 xml:space="preserve">sa 2017-ben </w:t>
      </w:r>
      <w:r w:rsidR="00EA7D3F" w:rsidRPr="00CD3EB8">
        <w:rPr>
          <w:rFonts w:ascii="Times New Roman" w:hAnsi="Times New Roman" w:cs="Times New Roman" w:hint="eastAsia"/>
        </w:rPr>
        <w:t>ö</w:t>
      </w:r>
      <w:r w:rsidR="00EA7D3F" w:rsidRPr="00CD3EB8">
        <w:rPr>
          <w:rFonts w:ascii="Times New Roman" w:hAnsi="Times New Roman" w:cs="Times New Roman"/>
        </w:rPr>
        <w:t>sszess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>g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>ben enyh</w:t>
      </w:r>
      <w:r w:rsidR="00EA7D3F" w:rsidRPr="00CD3EB8">
        <w:rPr>
          <w:rFonts w:ascii="Times New Roman" w:hAnsi="Times New Roman" w:cs="Times New Roman" w:hint="eastAsia"/>
        </w:rPr>
        <w:t>é</w:t>
      </w:r>
      <w:r w:rsidR="00EA7D3F" w:rsidRPr="00CD3EB8">
        <w:rPr>
          <w:rFonts w:ascii="Times New Roman" w:hAnsi="Times New Roman" w:cs="Times New Roman"/>
        </w:rPr>
        <w:t>n pozit</w:t>
      </w:r>
      <w:r w:rsidR="00EA7D3F" w:rsidRPr="00CD3EB8">
        <w:rPr>
          <w:rFonts w:ascii="Times New Roman" w:hAnsi="Times New Roman" w:cs="Times New Roman" w:hint="eastAsia"/>
        </w:rPr>
        <w:t>í</w:t>
      </w:r>
      <w:r w:rsidR="00EA7D3F" w:rsidRPr="00CD3EB8">
        <w:rPr>
          <w:rFonts w:ascii="Times New Roman" w:hAnsi="Times New Roman" w:cs="Times New Roman"/>
        </w:rPr>
        <w:t>v, az eredetileg v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rtn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l mintegy 20 milli</w:t>
      </w:r>
      <w:r w:rsidR="00EA7D3F" w:rsidRPr="00CD3EB8">
        <w:rPr>
          <w:rFonts w:ascii="Times New Roman" w:hAnsi="Times New Roman" w:cs="Times New Roman" w:hint="eastAsia"/>
        </w:rPr>
        <w:t>á</w:t>
      </w:r>
      <w:r w:rsidR="00EA7D3F" w:rsidRPr="00CD3EB8">
        <w:rPr>
          <w:rFonts w:ascii="Times New Roman" w:hAnsi="Times New Roman" w:cs="Times New Roman"/>
        </w:rPr>
        <w:t>rd forinttal kedvez</w:t>
      </w:r>
      <w:r w:rsidR="00EA7D3F" w:rsidRPr="00CD3EB8">
        <w:rPr>
          <w:rFonts w:ascii="Times New Roman" w:hAnsi="Times New Roman" w:cs="Times New Roman" w:hint="eastAsia"/>
        </w:rPr>
        <w:t>ő</w:t>
      </w:r>
      <w:r w:rsidR="00EA7D3F" w:rsidRPr="00CD3EB8">
        <w:rPr>
          <w:rFonts w:ascii="Times New Roman" w:hAnsi="Times New Roman" w:cs="Times New Roman"/>
        </w:rPr>
        <w:t>bb lett.</w:t>
      </w:r>
      <w:r w:rsidR="00EA7D3F" w:rsidRPr="00CD3EB8">
        <w:rPr>
          <w:rFonts w:ascii="Times New Roman" w:hAnsi="Times New Roman" w:cs="Times New Roman"/>
        </w:rPr>
        <w:footnoteReference w:id="3"/>
      </w:r>
    </w:p>
    <w:p w:rsidR="00AE736C" w:rsidRPr="00CD3EB8" w:rsidRDefault="00AE736C" w:rsidP="00CD3E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E736C" w:rsidRPr="00CD3EB8" w:rsidRDefault="00AE736C" w:rsidP="00CD3E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3EB8">
        <w:rPr>
          <w:rFonts w:ascii="Times New Roman" w:hAnsi="Times New Roman" w:cs="Times New Roman"/>
        </w:rPr>
        <w:lastRenderedPageBreak/>
        <w:t xml:space="preserve">A </w:t>
      </w:r>
      <w:r w:rsidRPr="0095295E">
        <w:rPr>
          <w:rFonts w:ascii="Times New Roman" w:hAnsi="Times New Roman" w:cs="Times New Roman"/>
          <w:b/>
        </w:rPr>
        <w:t>kiadási oldalon</w:t>
      </w:r>
      <w:r w:rsidRPr="00CD3EB8">
        <w:rPr>
          <w:rFonts w:ascii="Times New Roman" w:hAnsi="Times New Roman" w:cs="Times New Roman"/>
        </w:rPr>
        <w:t xml:space="preserve"> az 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letp</w:t>
      </w:r>
      <w:r w:rsidRPr="00CD3EB8">
        <w:rPr>
          <w:rFonts w:ascii="Times New Roman" w:hAnsi="Times New Roman" w:cs="Times New Roman" w:hint="eastAsia"/>
        </w:rPr>
        <w:t>á</w:t>
      </w:r>
      <w:r w:rsidRPr="00CD3EB8">
        <w:rPr>
          <w:rFonts w:ascii="Times New Roman" w:hAnsi="Times New Roman" w:cs="Times New Roman"/>
        </w:rPr>
        <w:t>lyamodellek eredm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nyek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nt a szoci</w:t>
      </w:r>
      <w:r w:rsidRPr="00CD3EB8">
        <w:rPr>
          <w:rFonts w:ascii="Times New Roman" w:hAnsi="Times New Roman" w:cs="Times New Roman" w:hint="eastAsia"/>
        </w:rPr>
        <w:t>á</w:t>
      </w:r>
      <w:r w:rsidRPr="00CD3EB8">
        <w:rPr>
          <w:rFonts w:ascii="Times New Roman" w:hAnsi="Times New Roman" w:cs="Times New Roman"/>
        </w:rPr>
        <w:t>lis hozz</w:t>
      </w:r>
      <w:r w:rsidRPr="00CD3EB8">
        <w:rPr>
          <w:rFonts w:ascii="Times New Roman" w:hAnsi="Times New Roman" w:cs="Times New Roman" w:hint="eastAsia"/>
        </w:rPr>
        <w:t>á</w:t>
      </w:r>
      <w:r w:rsidRPr="00CD3EB8">
        <w:rPr>
          <w:rFonts w:ascii="Times New Roman" w:hAnsi="Times New Roman" w:cs="Times New Roman"/>
        </w:rPr>
        <w:t>j</w:t>
      </w:r>
      <w:r w:rsidRPr="00CD3EB8">
        <w:rPr>
          <w:rFonts w:ascii="Times New Roman" w:hAnsi="Times New Roman" w:cs="Times New Roman" w:hint="eastAsia"/>
        </w:rPr>
        <w:t>á</w:t>
      </w:r>
      <w:r w:rsidRPr="00CD3EB8">
        <w:rPr>
          <w:rFonts w:ascii="Times New Roman" w:hAnsi="Times New Roman" w:cs="Times New Roman"/>
        </w:rPr>
        <w:t>rul</w:t>
      </w:r>
      <w:r w:rsidRPr="00CD3EB8">
        <w:rPr>
          <w:rFonts w:ascii="Times New Roman" w:hAnsi="Times New Roman" w:cs="Times New Roman" w:hint="eastAsia"/>
        </w:rPr>
        <w:t>á</w:t>
      </w:r>
      <w:r w:rsidRPr="00CD3EB8">
        <w:rPr>
          <w:rFonts w:ascii="Times New Roman" w:hAnsi="Times New Roman" w:cs="Times New Roman"/>
        </w:rPr>
        <w:t>si ad</w:t>
      </w:r>
      <w:r w:rsidRPr="00CD3EB8">
        <w:rPr>
          <w:rFonts w:ascii="Times New Roman" w:hAnsi="Times New Roman" w:cs="Times New Roman" w:hint="eastAsia"/>
        </w:rPr>
        <w:t>ó</w:t>
      </w:r>
      <w:r w:rsidRPr="00CD3EB8">
        <w:rPr>
          <w:rFonts w:ascii="Times New Roman" w:hAnsi="Times New Roman" w:cs="Times New Roman"/>
        </w:rPr>
        <w:t xml:space="preserve"> cs</w:t>
      </w:r>
      <w:r w:rsidRPr="00CD3EB8">
        <w:rPr>
          <w:rFonts w:ascii="Times New Roman" w:hAnsi="Times New Roman" w:cs="Times New Roman" w:hint="eastAsia"/>
        </w:rPr>
        <w:t>ö</w:t>
      </w:r>
      <w:r w:rsidRPr="00CD3EB8">
        <w:rPr>
          <w:rFonts w:ascii="Times New Roman" w:hAnsi="Times New Roman" w:cs="Times New Roman"/>
        </w:rPr>
        <w:t>kken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se ellen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re 271 milli</w:t>
      </w:r>
      <w:r w:rsidRPr="00CD3EB8">
        <w:rPr>
          <w:rFonts w:ascii="Times New Roman" w:hAnsi="Times New Roman" w:cs="Times New Roman" w:hint="eastAsia"/>
        </w:rPr>
        <w:t>á</w:t>
      </w:r>
      <w:r w:rsidRPr="00CD3EB8">
        <w:rPr>
          <w:rFonts w:ascii="Times New Roman" w:hAnsi="Times New Roman" w:cs="Times New Roman"/>
        </w:rPr>
        <w:t>rd forinttal magasabb volt a korm</w:t>
      </w:r>
      <w:r w:rsidRPr="00CD3EB8">
        <w:rPr>
          <w:rFonts w:ascii="Times New Roman" w:hAnsi="Times New Roman" w:cs="Times New Roman" w:hint="eastAsia"/>
        </w:rPr>
        <w:t>á</w:t>
      </w:r>
      <w:r w:rsidRPr="00CD3EB8">
        <w:rPr>
          <w:rFonts w:ascii="Times New Roman" w:hAnsi="Times New Roman" w:cs="Times New Roman"/>
        </w:rPr>
        <w:t>nyzati szektor</w:t>
      </w:r>
      <w:r w:rsidR="00A84C37" w:rsidRPr="00CD3EB8">
        <w:rPr>
          <w:rFonts w:ascii="Times New Roman" w:hAnsi="Times New Roman" w:cs="Times New Roman"/>
        </w:rPr>
        <w:t xml:space="preserve"> </w:t>
      </w:r>
      <w:r w:rsidRPr="00CD3EB8">
        <w:rPr>
          <w:rFonts w:ascii="Times New Roman" w:hAnsi="Times New Roman" w:cs="Times New Roman"/>
        </w:rPr>
        <w:t>b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rt</w:t>
      </w:r>
      <w:r w:rsidRPr="00CD3EB8">
        <w:rPr>
          <w:rFonts w:ascii="Times New Roman" w:hAnsi="Times New Roman" w:cs="Times New Roman" w:hint="eastAsia"/>
        </w:rPr>
        <w:t>ö</w:t>
      </w:r>
      <w:r w:rsidRPr="00CD3EB8">
        <w:rPr>
          <w:rFonts w:ascii="Times New Roman" w:hAnsi="Times New Roman" w:cs="Times New Roman"/>
        </w:rPr>
        <w:t>mege. Tov</w:t>
      </w:r>
      <w:r w:rsidRPr="00CD3EB8">
        <w:rPr>
          <w:rFonts w:ascii="Times New Roman" w:hAnsi="Times New Roman" w:cs="Times New Roman" w:hint="eastAsia"/>
        </w:rPr>
        <w:t>á</w:t>
      </w:r>
      <w:r w:rsidRPr="00CD3EB8">
        <w:rPr>
          <w:rFonts w:ascii="Times New Roman" w:hAnsi="Times New Roman" w:cs="Times New Roman"/>
        </w:rPr>
        <w:t>bb</w:t>
      </w:r>
      <w:r w:rsidRPr="00CD3EB8">
        <w:rPr>
          <w:rFonts w:ascii="Times New Roman" w:hAnsi="Times New Roman" w:cs="Times New Roman" w:hint="eastAsia"/>
        </w:rPr>
        <w:t>á</w:t>
      </w:r>
      <w:r w:rsidRPr="00CD3EB8">
        <w:rPr>
          <w:rFonts w:ascii="Times New Roman" w:hAnsi="Times New Roman" w:cs="Times New Roman"/>
        </w:rPr>
        <w:t xml:space="preserve"> az eredeti tervekn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l 114 milli</w:t>
      </w:r>
      <w:r w:rsidRPr="00CD3EB8">
        <w:rPr>
          <w:rFonts w:ascii="Times New Roman" w:hAnsi="Times New Roman" w:cs="Times New Roman" w:hint="eastAsia"/>
        </w:rPr>
        <w:t>á</w:t>
      </w:r>
      <w:r w:rsidRPr="00CD3EB8">
        <w:rPr>
          <w:rFonts w:ascii="Times New Roman" w:hAnsi="Times New Roman" w:cs="Times New Roman"/>
        </w:rPr>
        <w:t>rd forinttal t</w:t>
      </w:r>
      <w:r w:rsidRPr="00CD3EB8">
        <w:rPr>
          <w:rFonts w:ascii="Times New Roman" w:hAnsi="Times New Roman" w:cs="Times New Roman" w:hint="eastAsia"/>
        </w:rPr>
        <w:t>ö</w:t>
      </w:r>
      <w:r w:rsidRPr="00CD3EB8">
        <w:rPr>
          <w:rFonts w:ascii="Times New Roman" w:hAnsi="Times New Roman" w:cs="Times New Roman"/>
        </w:rPr>
        <w:t>bb b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rkiad</w:t>
      </w:r>
      <w:r w:rsidRPr="00CD3EB8">
        <w:rPr>
          <w:rFonts w:ascii="Times New Roman" w:hAnsi="Times New Roman" w:cs="Times New Roman" w:hint="eastAsia"/>
        </w:rPr>
        <w:t>á</w:t>
      </w:r>
      <w:r w:rsidRPr="00CD3EB8">
        <w:rPr>
          <w:rFonts w:ascii="Times New Roman" w:hAnsi="Times New Roman" w:cs="Times New Roman"/>
        </w:rPr>
        <w:t>st fedezett a k</w:t>
      </w:r>
      <w:r w:rsidRPr="00CD3EB8">
        <w:rPr>
          <w:rFonts w:ascii="Times New Roman" w:hAnsi="Times New Roman" w:cs="Times New Roman" w:hint="eastAsia"/>
        </w:rPr>
        <w:t>ö</w:t>
      </w:r>
      <w:r w:rsidRPr="00CD3EB8">
        <w:rPr>
          <w:rFonts w:ascii="Times New Roman" w:hAnsi="Times New Roman" w:cs="Times New Roman"/>
        </w:rPr>
        <w:t>lts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gvet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s a minim</w:t>
      </w:r>
      <w:r w:rsidRPr="00CD3EB8">
        <w:rPr>
          <w:rFonts w:ascii="Times New Roman" w:hAnsi="Times New Roman" w:cs="Times New Roman" w:hint="eastAsia"/>
        </w:rPr>
        <w:t>á</w:t>
      </w:r>
      <w:r w:rsidRPr="00CD3EB8">
        <w:rPr>
          <w:rFonts w:ascii="Times New Roman" w:hAnsi="Times New Roman" w:cs="Times New Roman"/>
        </w:rPr>
        <w:t>lb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 xml:space="preserve">r 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s garant</w:t>
      </w:r>
      <w:r w:rsidRPr="00CD3EB8">
        <w:rPr>
          <w:rFonts w:ascii="Times New Roman" w:hAnsi="Times New Roman" w:cs="Times New Roman" w:hint="eastAsia"/>
        </w:rPr>
        <w:t>á</w:t>
      </w:r>
      <w:r w:rsidRPr="00CD3EB8">
        <w:rPr>
          <w:rFonts w:ascii="Times New Roman" w:hAnsi="Times New Roman" w:cs="Times New Roman"/>
        </w:rPr>
        <w:t>lt b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rminimum emel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s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hez, az</w:t>
      </w:r>
      <w:r w:rsidR="0095295E">
        <w:rPr>
          <w:rFonts w:ascii="Times New Roman" w:hAnsi="Times New Roman" w:cs="Times New Roman"/>
        </w:rPr>
        <w:t xml:space="preserve"> </w:t>
      </w:r>
      <w:r w:rsidRPr="00CD3EB8">
        <w:rPr>
          <w:rFonts w:ascii="Times New Roman" w:hAnsi="Times New Roman" w:cs="Times New Roman" w:hint="eastAsia"/>
        </w:rPr>
        <w:t>á</w:t>
      </w:r>
      <w:r w:rsidRPr="00CD3EB8">
        <w:rPr>
          <w:rFonts w:ascii="Times New Roman" w:hAnsi="Times New Roman" w:cs="Times New Roman"/>
        </w:rPr>
        <w:t>llami v</w:t>
      </w:r>
      <w:r w:rsidRPr="00CD3EB8">
        <w:rPr>
          <w:rFonts w:ascii="Times New Roman" w:hAnsi="Times New Roman" w:cs="Times New Roman" w:hint="eastAsia"/>
        </w:rPr>
        <w:t>á</w:t>
      </w:r>
      <w:r w:rsidRPr="00CD3EB8">
        <w:rPr>
          <w:rFonts w:ascii="Times New Roman" w:hAnsi="Times New Roman" w:cs="Times New Roman"/>
        </w:rPr>
        <w:t>llalatok k</w:t>
      </w:r>
      <w:r w:rsidRPr="00CD3EB8">
        <w:rPr>
          <w:rFonts w:ascii="Times New Roman" w:hAnsi="Times New Roman" w:cs="Times New Roman" w:hint="eastAsia"/>
        </w:rPr>
        <w:t>ö</w:t>
      </w:r>
      <w:r w:rsidRPr="00CD3EB8">
        <w:rPr>
          <w:rFonts w:ascii="Times New Roman" w:hAnsi="Times New Roman" w:cs="Times New Roman"/>
        </w:rPr>
        <w:t>r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ben v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grehajtott b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remel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sekhez, tov</w:t>
      </w:r>
      <w:r w:rsidRPr="00CD3EB8">
        <w:rPr>
          <w:rFonts w:ascii="Times New Roman" w:hAnsi="Times New Roman" w:cs="Times New Roman" w:hint="eastAsia"/>
        </w:rPr>
        <w:t>á</w:t>
      </w:r>
      <w:r w:rsidRPr="00CD3EB8">
        <w:rPr>
          <w:rFonts w:ascii="Times New Roman" w:hAnsi="Times New Roman" w:cs="Times New Roman"/>
        </w:rPr>
        <w:t>bb</w:t>
      </w:r>
      <w:r w:rsidRPr="00CD3EB8">
        <w:rPr>
          <w:rFonts w:ascii="Times New Roman" w:hAnsi="Times New Roman" w:cs="Times New Roman" w:hint="eastAsia"/>
        </w:rPr>
        <w:t>á</w:t>
      </w:r>
      <w:r w:rsidRPr="00CD3EB8">
        <w:rPr>
          <w:rFonts w:ascii="Times New Roman" w:hAnsi="Times New Roman" w:cs="Times New Roman"/>
        </w:rPr>
        <w:t xml:space="preserve"> egyes </w:t>
      </w:r>
      <w:r w:rsidRPr="00CD3EB8">
        <w:rPr>
          <w:rFonts w:ascii="Times New Roman" w:hAnsi="Times New Roman" w:cs="Times New Roman" w:hint="eastAsia"/>
        </w:rPr>
        <w:t>á</w:t>
      </w:r>
      <w:r w:rsidRPr="00CD3EB8">
        <w:rPr>
          <w:rFonts w:ascii="Times New Roman" w:hAnsi="Times New Roman" w:cs="Times New Roman"/>
        </w:rPr>
        <w:t>gazati</w:t>
      </w:r>
      <w:r w:rsidR="00A84C37" w:rsidRPr="00CD3EB8">
        <w:rPr>
          <w:rFonts w:ascii="Times New Roman" w:hAnsi="Times New Roman" w:cs="Times New Roman"/>
        </w:rPr>
        <w:t xml:space="preserve"> </w:t>
      </w:r>
      <w:r w:rsidRPr="00CD3EB8">
        <w:rPr>
          <w:rFonts w:ascii="Times New Roman" w:hAnsi="Times New Roman" w:cs="Times New Roman"/>
        </w:rPr>
        <w:t>b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rint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zked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sekhez (pl. igazs</w:t>
      </w:r>
      <w:r w:rsidRPr="00CD3EB8">
        <w:rPr>
          <w:rFonts w:ascii="Times New Roman" w:hAnsi="Times New Roman" w:cs="Times New Roman" w:hint="eastAsia"/>
        </w:rPr>
        <w:t>á</w:t>
      </w:r>
      <w:r w:rsidRPr="00CD3EB8">
        <w:rPr>
          <w:rFonts w:ascii="Times New Roman" w:hAnsi="Times New Roman" w:cs="Times New Roman"/>
        </w:rPr>
        <w:t>g</w:t>
      </w:r>
      <w:r w:rsidRPr="00CD3EB8">
        <w:rPr>
          <w:rFonts w:ascii="Times New Roman" w:hAnsi="Times New Roman" w:cs="Times New Roman" w:hint="eastAsia"/>
        </w:rPr>
        <w:t>ü</w:t>
      </w:r>
      <w:r w:rsidRPr="00CD3EB8">
        <w:rPr>
          <w:rFonts w:ascii="Times New Roman" w:hAnsi="Times New Roman" w:cs="Times New Roman"/>
        </w:rPr>
        <w:t>gyi alkalmazottak b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remel</w:t>
      </w:r>
      <w:r w:rsidRPr="00CD3EB8">
        <w:rPr>
          <w:rFonts w:ascii="Times New Roman" w:hAnsi="Times New Roman" w:cs="Times New Roman" w:hint="eastAsia"/>
        </w:rPr>
        <w:t>é</w:t>
      </w:r>
      <w:r w:rsidRPr="00CD3EB8">
        <w:rPr>
          <w:rFonts w:ascii="Times New Roman" w:hAnsi="Times New Roman" w:cs="Times New Roman"/>
        </w:rPr>
        <w:t>se) kapcsol</w:t>
      </w:r>
      <w:r w:rsidRPr="00CD3EB8">
        <w:rPr>
          <w:rFonts w:ascii="Times New Roman" w:hAnsi="Times New Roman" w:cs="Times New Roman" w:hint="eastAsia"/>
        </w:rPr>
        <w:t>ó</w:t>
      </w:r>
      <w:r w:rsidRPr="00CD3EB8">
        <w:rPr>
          <w:rFonts w:ascii="Times New Roman" w:hAnsi="Times New Roman" w:cs="Times New Roman"/>
        </w:rPr>
        <w:t>d</w:t>
      </w:r>
      <w:r w:rsidRPr="00CD3EB8">
        <w:rPr>
          <w:rFonts w:ascii="Times New Roman" w:hAnsi="Times New Roman" w:cs="Times New Roman" w:hint="eastAsia"/>
        </w:rPr>
        <w:t>ó</w:t>
      </w:r>
      <w:r w:rsidRPr="00CD3EB8">
        <w:rPr>
          <w:rFonts w:ascii="Times New Roman" w:hAnsi="Times New Roman" w:cs="Times New Roman"/>
        </w:rPr>
        <w:t>an.</w:t>
      </w:r>
    </w:p>
    <w:p w:rsidR="00A84C37" w:rsidRPr="00CD3EB8" w:rsidRDefault="00A84C37" w:rsidP="00CD3E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84C37" w:rsidRPr="00CD3EB8" w:rsidRDefault="00A84C37" w:rsidP="00CD3E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3EB8">
        <w:rPr>
          <w:rFonts w:ascii="Times New Roman" w:hAnsi="Times New Roman" w:cs="Times New Roman"/>
        </w:rPr>
        <w:t>Az MNB előrejelzése szerint idén a munkát terhelő adókból származó bevételek mértéke jelentősen meghaladhatja az előirányzatot, amit a törvényben szereplőnél kedvezőbb munkaerőpiaci folyamatok magyaráznak. Szintén az előirányzat felett alakulhatnak az általános forgalmi adóból és a pénzügyi tranzakciós illetékből származó bevételek. Kiadási oldalon a költségvetési szervek dologi és személyi kiadásaira vonatkozó prognózisunk haladja meg az előirányzatot.</w:t>
      </w:r>
    </w:p>
    <w:p w:rsidR="00ED1805" w:rsidRPr="00CD3EB8" w:rsidRDefault="00ED1805" w:rsidP="00CD3E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A6270" w:rsidRDefault="00A84C37" w:rsidP="00CD3E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3EB8">
        <w:rPr>
          <w:rFonts w:ascii="Times New Roman" w:hAnsi="Times New Roman" w:cs="Times New Roman"/>
        </w:rPr>
        <w:t>A béren kívüli juttatások rendszerének tervezett átalakítása következtében az adómentes és az egyes meghatározott juttatások csaknem teljesen megszűnnek, a béren kívüli juttatások körében pedig csak a SZÉP kártya marad, a készpénz juttatások eltörlésre kerülnek.</w:t>
      </w:r>
      <w:r w:rsidR="0095295E">
        <w:rPr>
          <w:rFonts w:ascii="Times New Roman" w:hAnsi="Times New Roman" w:cs="Times New Roman"/>
        </w:rPr>
        <w:t xml:space="preserve"> </w:t>
      </w:r>
      <w:r w:rsidR="008A6270" w:rsidRPr="00CD3EB8">
        <w:rPr>
          <w:rFonts w:ascii="Times New Roman" w:hAnsi="Times New Roman" w:cs="Times New Roman"/>
        </w:rPr>
        <w:t>A költségvetés számára az átlagos 360 000 forintos munkaadói ráfordítás a 1,5 millió cafeteriában részesülő munkavállaló számára bérként való kifizetése közel 100 milliárd forint többletbevételt jelentene. Miután a Szép-kártya megmarad, így ez a maximum összeg becslésem szerint legfeljebb 30 milliárd forint körül alakulh</w:t>
      </w:r>
      <w:r w:rsidR="0095295E">
        <w:rPr>
          <w:rFonts w:ascii="Times New Roman" w:hAnsi="Times New Roman" w:cs="Times New Roman"/>
        </w:rPr>
        <w:t xml:space="preserve">at. Ami jelentéktelen összeg a 2019-re tervezett </w:t>
      </w:r>
      <w:r w:rsidR="008A6270" w:rsidRPr="00CD3EB8">
        <w:rPr>
          <w:rFonts w:ascii="Times New Roman" w:hAnsi="Times New Roman" w:cs="Times New Roman"/>
        </w:rPr>
        <w:t xml:space="preserve">9 580 milliárd forintos teljes államháztartási bevétellel szemben. </w:t>
      </w:r>
    </w:p>
    <w:p w:rsidR="0095295E" w:rsidRPr="00CD3EB8" w:rsidRDefault="0095295E" w:rsidP="00CD3E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84C37" w:rsidRDefault="00A84C37" w:rsidP="00A84C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56E5A" w:rsidRPr="005A1D9B" w:rsidRDefault="00D56E5A" w:rsidP="005A1D9B">
      <w:pPr>
        <w:pStyle w:val="Listaszerbekezds"/>
        <w:numPr>
          <w:ilvl w:val="0"/>
          <w:numId w:val="3"/>
        </w:numPr>
        <w:jc w:val="both"/>
        <w:rPr>
          <w:b/>
        </w:rPr>
      </w:pPr>
      <w:r w:rsidRPr="005A1D9B">
        <w:rPr>
          <w:b/>
        </w:rPr>
        <w:t>Bérdinami</w:t>
      </w:r>
      <w:r w:rsidR="00EA5B31">
        <w:rPr>
          <w:b/>
        </w:rPr>
        <w:t>ka, munkaerőköltség</w:t>
      </w:r>
    </w:p>
    <w:p w:rsidR="008040F1" w:rsidRDefault="008040F1" w:rsidP="00D639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DED" w:rsidRDefault="00E772D6" w:rsidP="001F7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03F0E" w:rsidRPr="00E772D6">
        <w:rPr>
          <w:rFonts w:ascii="Times New Roman" w:hAnsi="Times New Roman" w:cs="Times New Roman"/>
        </w:rPr>
        <w:t>2018. január–júliusban a bruttó átlagkereset 324 700 forint, a nettó átlagkereset 216 000 forint volt, mindkettő egyaránt 12,1%-kal nőtt az előző év azonos időszakához viszonyítva. A növekedésre a minimálbér és a garantált bérminimum 8, illetve 12%-os emelése, a költségvetési szféra egyes területeit, továbbá bizonyos állami közszolgáltató cégek dolgozóit érintő keresetrendezések voltak hatással.</w:t>
      </w:r>
      <w:r w:rsidR="00E37333" w:rsidRPr="00E772D6">
        <w:rPr>
          <w:rFonts w:ascii="Times New Roman" w:hAnsi="Times New Roman" w:cs="Times New Roman"/>
        </w:rPr>
        <w:t xml:space="preserve"> A fogyasztói árak előző év azonos időszakához mért 2,5%-os növekedése mellett a reálkereset 9,4%-kal emelkedett. A bruttó és a nettó átlagkereset egyaránt 12,8%-kal nőtt az előző év azonos időszakához képest.</w:t>
      </w:r>
      <w:r w:rsidR="00103F0E" w:rsidRPr="00E772D6">
        <w:rPr>
          <w:rFonts w:ascii="Times New Roman" w:hAnsi="Times New Roman" w:cs="Times New Roman"/>
        </w:rPr>
        <w:footnoteReference w:id="4"/>
      </w:r>
      <w:r w:rsidR="00103F0E" w:rsidRPr="00E772D6">
        <w:rPr>
          <w:rFonts w:ascii="Times New Roman" w:hAnsi="Times New Roman" w:cs="Times New Roman"/>
        </w:rPr>
        <w:t xml:space="preserve"> Írja a KSH az idei év aktuális folyamatairól. </w:t>
      </w:r>
    </w:p>
    <w:p w:rsidR="001F7DED" w:rsidRDefault="001F7DED" w:rsidP="001F7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F7DED" w:rsidRPr="001F7DED" w:rsidRDefault="001F7DED" w:rsidP="001F7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7DED">
        <w:rPr>
          <w:rFonts w:ascii="Times New Roman" w:hAnsi="Times New Roman" w:cs="Times New Roman"/>
        </w:rPr>
        <w:t>Egy évvel korábban az év első hét hónapjában a bruttó és a nettó keresetek egyaránt 12,6%-kal nőttek az előző év azonos időszakához viszonyítva, a reálkereset pedig 10,1%-kal emelkedett. A bruttó és a nettó átlagkereset azonos mértékben, 12,6%-kal nőtt egy év alatt. Írta a KSH 2017 szeptemberében.</w:t>
      </w:r>
    </w:p>
    <w:p w:rsidR="00103F0E" w:rsidRPr="00E772D6" w:rsidRDefault="00103F0E" w:rsidP="00E772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A58AA" w:rsidRDefault="003A58AA" w:rsidP="003A58AA">
      <w:pPr>
        <w:pStyle w:val="bp"/>
        <w:jc w:val="center"/>
      </w:pPr>
      <w:r w:rsidRPr="003A58AA">
        <w:lastRenderedPageBreak/>
        <w:drawing>
          <wp:inline distT="0" distB="0" distL="0" distR="0">
            <wp:extent cx="3609975" cy="3571875"/>
            <wp:effectExtent l="19050" t="0" r="9525" b="0"/>
            <wp:docPr id="26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8AA" w:rsidRDefault="003A58AA" w:rsidP="003A58AA">
      <w:pPr>
        <w:pStyle w:val="bp"/>
        <w:jc w:val="center"/>
      </w:pPr>
      <w:r>
        <w:t>Forrás:???</w:t>
      </w:r>
    </w:p>
    <w:p w:rsidR="00C838B9" w:rsidRDefault="00C838B9" w:rsidP="00CE6F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111FC" w:rsidRPr="003C57B6" w:rsidRDefault="00CE6F0A" w:rsidP="003C5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C57B6">
        <w:rPr>
          <w:rFonts w:ascii="Times New Roman" w:hAnsi="Times New Roman" w:cs="Times New Roman"/>
        </w:rPr>
        <w:t>A</w:t>
      </w:r>
      <w:r w:rsidR="00CF7858" w:rsidRPr="003C57B6">
        <w:rPr>
          <w:rFonts w:ascii="Times New Roman" w:hAnsi="Times New Roman" w:cs="Times New Roman"/>
        </w:rPr>
        <w:t xml:space="preserve">z adatok azt mutatják, hogy a </w:t>
      </w:r>
      <w:r w:rsidRPr="003C57B6">
        <w:rPr>
          <w:rFonts w:ascii="Times New Roman" w:hAnsi="Times New Roman" w:cs="Times New Roman"/>
        </w:rPr>
        <w:t>rendkívül</w:t>
      </w:r>
      <w:r w:rsidR="00B111FC" w:rsidRPr="003C57B6">
        <w:rPr>
          <w:rFonts w:ascii="Times New Roman" w:hAnsi="Times New Roman" w:cs="Times New Roman"/>
        </w:rPr>
        <w:t xml:space="preserve"> feszes munkaerőpiaci környezetben a vállalatok erőteljes versenyt folytatnak a munkaerő</w:t>
      </w:r>
      <w:r w:rsidR="00CF7858" w:rsidRPr="003C57B6">
        <w:rPr>
          <w:rFonts w:ascii="Times New Roman" w:hAnsi="Times New Roman" w:cs="Times New Roman"/>
        </w:rPr>
        <w:t xml:space="preserve"> </w:t>
      </w:r>
      <w:r w:rsidR="00B111FC" w:rsidRPr="003C57B6">
        <w:rPr>
          <w:rFonts w:ascii="Times New Roman" w:hAnsi="Times New Roman" w:cs="Times New Roman"/>
        </w:rPr>
        <w:t>megtartásáért és felvételéért, így a munkavállalók béralkupozíciója fo</w:t>
      </w:r>
      <w:r w:rsidRPr="003C57B6">
        <w:rPr>
          <w:rFonts w:ascii="Times New Roman" w:hAnsi="Times New Roman" w:cs="Times New Roman"/>
        </w:rPr>
        <w:t xml:space="preserve">lyamatosan javul, ami erőteljes, piaci alapú </w:t>
      </w:r>
      <w:r w:rsidR="00B111FC" w:rsidRPr="003C57B6">
        <w:rPr>
          <w:rFonts w:ascii="Times New Roman" w:hAnsi="Times New Roman" w:cs="Times New Roman"/>
        </w:rPr>
        <w:t xml:space="preserve">bérdinamikához vezet. </w:t>
      </w:r>
      <w:r w:rsidR="00B111FC" w:rsidRPr="003C57B6">
        <w:rPr>
          <w:rFonts w:ascii="Times New Roman" w:hAnsi="Times New Roman" w:cs="Times New Roman"/>
          <w:b/>
          <w:bCs/>
        </w:rPr>
        <w:t xml:space="preserve">A bérezési alapfolyamat </w:t>
      </w:r>
      <w:r w:rsidR="00B111FC" w:rsidRPr="003C57B6">
        <w:rPr>
          <w:rFonts w:ascii="Times New Roman" w:hAnsi="Times New Roman" w:cs="Times New Roman"/>
        </w:rPr>
        <w:t xml:space="preserve">tehát </w:t>
      </w:r>
      <w:r w:rsidR="00B111FC" w:rsidRPr="003C57B6">
        <w:rPr>
          <w:rFonts w:ascii="Times New Roman" w:hAnsi="Times New Roman" w:cs="Times New Roman"/>
          <w:b/>
          <w:bCs/>
        </w:rPr>
        <w:t xml:space="preserve">a csökkenő szabad munkaerő-kapacitással párhuzamosan tovább erősödik, </w:t>
      </w:r>
      <w:r w:rsidR="00B111FC" w:rsidRPr="003C57B6">
        <w:rPr>
          <w:rFonts w:ascii="Times New Roman" w:hAnsi="Times New Roman" w:cs="Times New Roman"/>
        </w:rPr>
        <w:t>a 2017-estől elmaradó mértékű minimálbér- és garantált</w:t>
      </w:r>
      <w:r w:rsidR="00CF7858" w:rsidRPr="003C57B6">
        <w:rPr>
          <w:rFonts w:ascii="Times New Roman" w:hAnsi="Times New Roman" w:cs="Times New Roman"/>
        </w:rPr>
        <w:t xml:space="preserve"> </w:t>
      </w:r>
      <w:r w:rsidR="00B111FC" w:rsidRPr="003C57B6">
        <w:rPr>
          <w:rFonts w:ascii="Times New Roman" w:hAnsi="Times New Roman" w:cs="Times New Roman"/>
        </w:rPr>
        <w:t xml:space="preserve">bérminimum emelés miatt azonban a tavalyi évnél </w:t>
      </w:r>
      <w:r w:rsidR="00CF7858" w:rsidRPr="003C57B6">
        <w:rPr>
          <w:rFonts w:ascii="Times New Roman" w:hAnsi="Times New Roman" w:cs="Times New Roman"/>
        </w:rPr>
        <w:t xml:space="preserve">valamivel </w:t>
      </w:r>
      <w:r w:rsidR="00B111FC" w:rsidRPr="003C57B6">
        <w:rPr>
          <w:rFonts w:ascii="Times New Roman" w:hAnsi="Times New Roman" w:cs="Times New Roman"/>
        </w:rPr>
        <w:t>alacsonyabb bérdinami</w:t>
      </w:r>
      <w:r w:rsidRPr="003C57B6">
        <w:rPr>
          <w:rFonts w:ascii="Times New Roman" w:hAnsi="Times New Roman" w:cs="Times New Roman"/>
        </w:rPr>
        <w:t>kára lehet idén számítani</w:t>
      </w:r>
      <w:r w:rsidR="00B111FC" w:rsidRPr="003C57B6">
        <w:rPr>
          <w:rFonts w:ascii="Times New Roman" w:hAnsi="Times New Roman" w:cs="Times New Roman"/>
        </w:rPr>
        <w:t xml:space="preserve">. </w:t>
      </w:r>
    </w:p>
    <w:p w:rsidR="00865C0A" w:rsidRPr="003C57B6" w:rsidRDefault="00865C0A" w:rsidP="003C5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041F3" w:rsidRPr="003C57B6" w:rsidRDefault="00B111FC" w:rsidP="003C5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C57B6">
        <w:rPr>
          <w:rFonts w:ascii="Times New Roman" w:hAnsi="Times New Roman" w:cs="Times New Roman"/>
        </w:rPr>
        <w:t xml:space="preserve">A cafeteria rendszer 2019-ben történő szűkítésére </w:t>
      </w:r>
      <w:r w:rsidR="004041F3" w:rsidRPr="003C57B6">
        <w:rPr>
          <w:rFonts w:ascii="Times New Roman" w:hAnsi="Times New Roman" w:cs="Times New Roman"/>
        </w:rPr>
        <w:t>várható</w:t>
      </w:r>
      <w:r w:rsidRPr="003C57B6">
        <w:rPr>
          <w:rFonts w:ascii="Times New Roman" w:hAnsi="Times New Roman" w:cs="Times New Roman"/>
        </w:rPr>
        <w:t xml:space="preserve"> vállalati reakciókat és így a jövő évi bérezési döntéseket nagyfokú bizonytalanság övezi. </w:t>
      </w:r>
      <w:r w:rsidR="004041F3" w:rsidRPr="003C57B6">
        <w:rPr>
          <w:rFonts w:ascii="Times New Roman" w:hAnsi="Times New Roman" w:cs="Times New Roman"/>
        </w:rPr>
        <w:t>A</w:t>
      </w:r>
      <w:r w:rsidRPr="003C57B6">
        <w:rPr>
          <w:rFonts w:ascii="Times New Roman" w:hAnsi="Times New Roman" w:cs="Times New Roman"/>
        </w:rPr>
        <w:t xml:space="preserve"> feszes munkaerőpiaci környezetben a vállalatok nagy része </w:t>
      </w:r>
      <w:r w:rsidR="00C14F35" w:rsidRPr="003C57B6">
        <w:rPr>
          <w:rFonts w:ascii="Times New Roman" w:hAnsi="Times New Roman" w:cs="Times New Roman"/>
        </w:rPr>
        <w:t xml:space="preserve">vélhetően </w:t>
      </w:r>
      <w:r w:rsidRPr="003C57B6">
        <w:rPr>
          <w:rFonts w:ascii="Times New Roman" w:hAnsi="Times New Roman" w:cs="Times New Roman"/>
        </w:rPr>
        <w:t>a megmaradó cafeteria elemek (SZÉP kártya alszámlák) bővítése mellett béremelésekkel reagál</w:t>
      </w:r>
      <w:r w:rsidR="00C14F35" w:rsidRPr="003C57B6">
        <w:rPr>
          <w:rFonts w:ascii="Times New Roman" w:hAnsi="Times New Roman" w:cs="Times New Roman"/>
        </w:rPr>
        <w:t>.</w:t>
      </w:r>
    </w:p>
    <w:p w:rsidR="00DF7536" w:rsidRDefault="00DF7536" w:rsidP="00B111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B111FC" w:rsidRDefault="00B111FC" w:rsidP="003B28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28E7">
        <w:rPr>
          <w:rFonts w:ascii="Times New Roman" w:hAnsi="Times New Roman" w:cs="Times New Roman"/>
          <w:b/>
          <w:bCs/>
        </w:rPr>
        <w:t xml:space="preserve">A bérdinamika munkaerőköltségre gyakorolt hatását a </w:t>
      </w:r>
      <w:r w:rsidRPr="003B28E7">
        <w:rPr>
          <w:rFonts w:ascii="Times New Roman" w:hAnsi="Times New Roman" w:cs="Times New Roman"/>
        </w:rPr>
        <w:t>bérmegállapodásban rögzített  j</w:t>
      </w:r>
      <w:r w:rsidRPr="003B28E7">
        <w:rPr>
          <w:rFonts w:ascii="Times New Roman" w:hAnsi="Times New Roman" w:cs="Times New Roman"/>
          <w:b/>
          <w:bCs/>
        </w:rPr>
        <w:t>árulékcsökkentések tompítják</w:t>
      </w:r>
      <w:r w:rsidRPr="003B28E7">
        <w:rPr>
          <w:rFonts w:ascii="Times New Roman" w:hAnsi="Times New Roman" w:cs="Times New Roman"/>
        </w:rPr>
        <w:t>. A szociális hozzájárulási adó a tavalyi és az idei év eleji – 5, illetve 2,5 százalékos – mérséklődést követően még négy lépésben 2–2 százalékponttal fog csökkenni a reálbérek</w:t>
      </w:r>
      <w:r w:rsidR="00DF7536" w:rsidRPr="003B28E7">
        <w:rPr>
          <w:rFonts w:ascii="Times New Roman" w:hAnsi="Times New Roman" w:cs="Times New Roman"/>
        </w:rPr>
        <w:t xml:space="preserve"> </w:t>
      </w:r>
      <w:r w:rsidRPr="003B28E7">
        <w:rPr>
          <w:rFonts w:ascii="Times New Roman" w:hAnsi="Times New Roman" w:cs="Times New Roman"/>
        </w:rPr>
        <w:t>emelkedésének függvényében. A jövő évi költségvetés tervezete alapján a következő, 2 százalékpontos</w:t>
      </w:r>
      <w:r w:rsidR="00DF7536" w:rsidRPr="003B28E7">
        <w:rPr>
          <w:rFonts w:ascii="Times New Roman" w:hAnsi="Times New Roman" w:cs="Times New Roman"/>
        </w:rPr>
        <w:t xml:space="preserve"> járulékcsökkentés</w:t>
      </w:r>
      <w:r w:rsidRPr="003B28E7">
        <w:rPr>
          <w:rFonts w:ascii="Times New Roman" w:hAnsi="Times New Roman" w:cs="Times New Roman"/>
        </w:rPr>
        <w:t xml:space="preserve"> 2019. júl</w:t>
      </w:r>
      <w:r w:rsidR="00DF7536" w:rsidRPr="003B28E7">
        <w:rPr>
          <w:rFonts w:ascii="Times New Roman" w:hAnsi="Times New Roman" w:cs="Times New Roman"/>
        </w:rPr>
        <w:t>ius 1-től valósulhat meg</w:t>
      </w:r>
      <w:r w:rsidRPr="003B28E7">
        <w:rPr>
          <w:rFonts w:ascii="Times New Roman" w:hAnsi="Times New Roman" w:cs="Times New Roman"/>
        </w:rPr>
        <w:t xml:space="preserve">. </w:t>
      </w:r>
    </w:p>
    <w:p w:rsidR="003B28E7" w:rsidRDefault="003B28E7" w:rsidP="003B28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B28E7" w:rsidRDefault="003B28E7" w:rsidP="003B28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B28E7" w:rsidRDefault="003B28E7" w:rsidP="003B28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B28E7" w:rsidRDefault="003B28E7" w:rsidP="003B28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B28E7" w:rsidRDefault="003B28E7" w:rsidP="003B28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B28E7" w:rsidRDefault="003B28E7" w:rsidP="003B28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B28E7" w:rsidRPr="003B28E7" w:rsidRDefault="003B28E7" w:rsidP="003B28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C1B7F" w:rsidRDefault="00FC1B7F" w:rsidP="00B111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FC1B7F" w:rsidRPr="00FC1B7F" w:rsidRDefault="00FC1B7F" w:rsidP="00FC1B7F">
      <w:pPr>
        <w:tabs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B7F">
        <w:rPr>
          <w:rFonts w:ascii="Times New Roman" w:hAnsi="Times New Roman" w:cs="Times New Roman"/>
          <w:b/>
          <w:sz w:val="24"/>
          <w:szCs w:val="24"/>
        </w:rPr>
        <w:lastRenderedPageBreak/>
        <w:t>A versenyszféra bruttó átlagkereset és átlagos munkaerőköltség éves változása</w:t>
      </w:r>
    </w:p>
    <w:p w:rsidR="00B111FC" w:rsidRDefault="00B111FC" w:rsidP="00FC1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66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19425" cy="2419350"/>
            <wp:effectExtent l="0" t="0" r="0" b="0"/>
            <wp:docPr id="21" name="Diagram 5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7914292D-2174-4CB2-A67A-FAFB0EFEC5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1B7F" w:rsidRDefault="00FC1B7F" w:rsidP="00FC1B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Forrás: MNB Inflációs jelentés, 2018. szeptember</w:t>
      </w:r>
    </w:p>
    <w:p w:rsidR="00FC1B7F" w:rsidRDefault="00FC1B7F" w:rsidP="00B111FC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3013" w:rsidRPr="00DB6C40" w:rsidRDefault="00DD3013" w:rsidP="00D6397E">
      <w:pPr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DB6C40">
        <w:rPr>
          <w:rStyle w:val="Kiemels2"/>
          <w:rFonts w:ascii="Times New Roman" w:hAnsi="Times New Roman" w:cs="Times New Roman"/>
          <w:sz w:val="24"/>
          <w:szCs w:val="24"/>
        </w:rPr>
        <w:t xml:space="preserve">A V4-ek közül </w:t>
      </w:r>
      <w:r w:rsidR="00EC181A" w:rsidRPr="00DB6C40">
        <w:rPr>
          <w:rStyle w:val="Kiemels2"/>
          <w:rFonts w:ascii="Times New Roman" w:hAnsi="Times New Roman" w:cs="Times New Roman"/>
          <w:sz w:val="24"/>
          <w:szCs w:val="24"/>
        </w:rPr>
        <w:t xml:space="preserve">továbbra is </w:t>
      </w:r>
      <w:r w:rsidRPr="00DB6C40">
        <w:rPr>
          <w:rStyle w:val="Kiemels2"/>
          <w:rFonts w:ascii="Times New Roman" w:hAnsi="Times New Roman" w:cs="Times New Roman"/>
          <w:sz w:val="24"/>
          <w:szCs w:val="24"/>
        </w:rPr>
        <w:t>Magyarországon a legalacsonyabb a minimálbér</w:t>
      </w:r>
    </w:p>
    <w:p w:rsidR="00DD3013" w:rsidRDefault="00015CA9" w:rsidP="00316802">
      <w:pPr>
        <w:pStyle w:val="NormlWeb"/>
        <w:spacing w:line="276" w:lineRule="auto"/>
        <w:jc w:val="both"/>
        <w:rPr>
          <w:b/>
        </w:rPr>
      </w:pPr>
      <w:r>
        <w:t>Magyarországon 2018-ban 138 0</w:t>
      </w:r>
      <w:r w:rsidR="00DD3013">
        <w:t xml:space="preserve">00 forint volt a bruttó minimálbér, amely </w:t>
      </w:r>
      <w:r>
        <w:t>325 ft/euró árfolyamon számolva</w:t>
      </w:r>
      <w:r w:rsidR="00DD3013">
        <w:t xml:space="preserve"> </w:t>
      </w:r>
      <w:r>
        <w:rPr>
          <w:rStyle w:val="Kiemels2"/>
        </w:rPr>
        <w:t>425</w:t>
      </w:r>
      <w:r w:rsidR="00DD3013">
        <w:rPr>
          <w:rStyle w:val="Kiemels2"/>
        </w:rPr>
        <w:t xml:space="preserve"> euró</w:t>
      </w:r>
      <w:r w:rsidR="00DD3013">
        <w:t>nak felel meg</w:t>
      </w:r>
      <w:r>
        <w:t>.</w:t>
      </w:r>
      <w:r w:rsidR="00151842">
        <w:t xml:space="preserve"> Ez nettó </w:t>
      </w:r>
      <w:r w:rsidR="00151842" w:rsidRPr="00151842">
        <w:rPr>
          <w:b/>
        </w:rPr>
        <w:t>282 eurót</w:t>
      </w:r>
      <w:r w:rsidR="00151842">
        <w:t xml:space="preserve"> jelent.</w:t>
      </w:r>
      <w:r w:rsidR="00316802">
        <w:t xml:space="preserve"> </w:t>
      </w:r>
      <w:r w:rsidR="00DD3013">
        <w:t>Szlovákiában a tavalyi évben bruttó </w:t>
      </w:r>
      <w:r w:rsidR="00DD3013">
        <w:rPr>
          <w:rStyle w:val="Kiemels2"/>
        </w:rPr>
        <w:t>435 euró</w:t>
      </w:r>
      <w:r w:rsidR="00151842">
        <w:rPr>
          <w:rStyle w:val="Kiemels2"/>
        </w:rPr>
        <w:t>,</w:t>
      </w:r>
      <w:r w:rsidR="00DD3013">
        <w:t xml:space="preserve"> az idei évben pedig bruttó </w:t>
      </w:r>
      <w:r w:rsidR="00DD3013">
        <w:rPr>
          <w:rStyle w:val="Kiemels2"/>
        </w:rPr>
        <w:t>480 euró</w:t>
      </w:r>
      <w:r w:rsidR="00DD3013">
        <w:t xml:space="preserve"> (nettó </w:t>
      </w:r>
      <w:r w:rsidR="00DD3013">
        <w:rPr>
          <w:rStyle w:val="Kiemels2"/>
        </w:rPr>
        <w:t>403 euró</w:t>
      </w:r>
      <w:r w:rsidR="00DD3013">
        <w:t xml:space="preserve">) a minimálbér szintje. Csehországban 2017-ben bruttó </w:t>
      </w:r>
      <w:r w:rsidR="00316802">
        <w:rPr>
          <w:rStyle w:val="Kiemels2"/>
        </w:rPr>
        <w:t>420</w:t>
      </w:r>
      <w:r w:rsidR="00DD3013">
        <w:rPr>
          <w:rStyle w:val="Kiemels2"/>
        </w:rPr>
        <w:t xml:space="preserve"> euró</w:t>
      </w:r>
      <w:r w:rsidR="00151842">
        <w:t xml:space="preserve"> volt a legkisebb munkabér. A</w:t>
      </w:r>
      <w:r w:rsidR="00DD3013">
        <w:t xml:space="preserve">z idei évben pedig </w:t>
      </w:r>
      <w:r w:rsidR="00316802">
        <w:rPr>
          <w:rStyle w:val="Kiemels2"/>
        </w:rPr>
        <w:t>470</w:t>
      </w:r>
      <w:r w:rsidR="00DD3013">
        <w:rPr>
          <w:rStyle w:val="Kiemels2"/>
        </w:rPr>
        <w:t xml:space="preserve"> euró</w:t>
      </w:r>
      <w:r w:rsidR="00DD3013">
        <w:t xml:space="preserve">, </w:t>
      </w:r>
      <w:r w:rsidR="00151842">
        <w:t xml:space="preserve">ami </w:t>
      </w:r>
      <w:r w:rsidR="00DD3013">
        <w:t>nettó </w:t>
      </w:r>
      <w:r w:rsidR="00DD3013">
        <w:rPr>
          <w:rStyle w:val="Kiemels2"/>
        </w:rPr>
        <w:t>413 euró</w:t>
      </w:r>
      <w:r w:rsidR="00151842">
        <w:t>t jelent a munkavállalónak</w:t>
      </w:r>
      <w:r w:rsidR="00DD3013">
        <w:t>. Lengyelországban az e</w:t>
      </w:r>
      <w:r w:rsidR="000F1041">
        <w:t xml:space="preserve">lőző évben </w:t>
      </w:r>
      <w:r w:rsidR="000F1041" w:rsidRPr="000F1041">
        <w:rPr>
          <w:b/>
        </w:rPr>
        <w:t>4</w:t>
      </w:r>
      <w:r w:rsidR="000F1041">
        <w:rPr>
          <w:rStyle w:val="Kiemels2"/>
        </w:rPr>
        <w:t>80</w:t>
      </w:r>
      <w:r w:rsidR="00DD3013">
        <w:rPr>
          <w:rStyle w:val="Kiemels2"/>
        </w:rPr>
        <w:t xml:space="preserve"> euró</w:t>
      </w:r>
      <w:r w:rsidR="00D5470A">
        <w:t xml:space="preserve">, vagyis nettó </w:t>
      </w:r>
      <w:r w:rsidR="00DD3013">
        <w:rPr>
          <w:rStyle w:val="Kiemels2"/>
        </w:rPr>
        <w:t>351 euró</w:t>
      </w:r>
      <w:r w:rsidR="00D5470A">
        <w:t>.</w:t>
      </w:r>
      <w:r w:rsidR="00DD3013">
        <w:t xml:space="preserve"> </w:t>
      </w:r>
      <w:r w:rsidR="00D5470A">
        <w:t>Jelenleg pedig bruttó </w:t>
      </w:r>
      <w:r w:rsidR="00DD3013">
        <w:t xml:space="preserve"> </w:t>
      </w:r>
      <w:r w:rsidR="00DD3013">
        <w:rPr>
          <w:rStyle w:val="Kiemels2"/>
        </w:rPr>
        <w:t>505 euró</w:t>
      </w:r>
      <w:r w:rsidR="00DD3013">
        <w:t xml:space="preserve"> a minimálbér összege, </w:t>
      </w:r>
      <w:r w:rsidR="00D5470A">
        <w:t xml:space="preserve">ami </w:t>
      </w:r>
      <w:r w:rsidR="00DD3013">
        <w:t xml:space="preserve">nettóban </w:t>
      </w:r>
      <w:r w:rsidR="00DD3013">
        <w:rPr>
          <w:rStyle w:val="Kiemels2"/>
        </w:rPr>
        <w:t>368 euró</w:t>
      </w:r>
      <w:r w:rsidR="00DD3013">
        <w:t xml:space="preserve">. </w:t>
      </w:r>
      <w:r w:rsidR="00DD3013" w:rsidRPr="00D5470A">
        <w:rPr>
          <w:b/>
        </w:rPr>
        <w:t xml:space="preserve">A visegrádi országok közül tehát </w:t>
      </w:r>
      <w:r w:rsidR="00D5470A">
        <w:rPr>
          <w:b/>
        </w:rPr>
        <w:t xml:space="preserve">továbbra is </w:t>
      </w:r>
      <w:r w:rsidR="00DD3013" w:rsidRPr="00D5470A">
        <w:rPr>
          <w:b/>
        </w:rPr>
        <w:t>Magyarországo</w:t>
      </w:r>
      <w:r w:rsidR="00D5470A">
        <w:rPr>
          <w:b/>
        </w:rPr>
        <w:t>n a legalacsonyabb a minimálbér.</w:t>
      </w:r>
      <w:r w:rsidR="00DD3013" w:rsidRPr="00D5470A">
        <w:rPr>
          <w:b/>
        </w:rPr>
        <w:t xml:space="preserve"> </w:t>
      </w:r>
      <w:r w:rsidR="00D5470A">
        <w:rPr>
          <w:b/>
        </w:rPr>
        <w:t>B</w:t>
      </w:r>
      <w:r w:rsidR="00DD3013" w:rsidRPr="00D5470A">
        <w:rPr>
          <w:b/>
        </w:rPr>
        <w:t>ruttóban a lengyeleknél, nettóban vis</w:t>
      </w:r>
      <w:r w:rsidR="000F1041" w:rsidRPr="00D5470A">
        <w:rPr>
          <w:b/>
        </w:rPr>
        <w:t>zont a cseheknél a legmagasabb.</w:t>
      </w:r>
      <w:r w:rsidR="000F1041" w:rsidRPr="00D5470A">
        <w:rPr>
          <w:rStyle w:val="Lbjegyzet-hivatkozs"/>
          <w:b/>
        </w:rPr>
        <w:footnoteReference w:id="5"/>
      </w:r>
    </w:p>
    <w:p w:rsidR="006A457C" w:rsidRPr="00D5470A" w:rsidRDefault="006A457C" w:rsidP="00316802">
      <w:pPr>
        <w:pStyle w:val="NormlWeb"/>
        <w:spacing w:line="276" w:lineRule="auto"/>
        <w:jc w:val="both"/>
        <w:rPr>
          <w:b/>
        </w:rPr>
      </w:pPr>
    </w:p>
    <w:p w:rsidR="008A6D53" w:rsidRDefault="008A6D53" w:rsidP="005A1D9B">
      <w:pPr>
        <w:pStyle w:val="Listaszerbekezds"/>
        <w:numPr>
          <w:ilvl w:val="0"/>
          <w:numId w:val="3"/>
        </w:numPr>
        <w:jc w:val="both"/>
        <w:rPr>
          <w:b/>
        </w:rPr>
      </w:pPr>
      <w:r w:rsidRPr="005A1D9B">
        <w:rPr>
          <w:b/>
        </w:rPr>
        <w:t>Munkaerő-piaci helyzet</w:t>
      </w:r>
    </w:p>
    <w:p w:rsidR="005A1D9B" w:rsidRPr="005A1D9B" w:rsidRDefault="005A1D9B" w:rsidP="005A1D9B">
      <w:pPr>
        <w:pStyle w:val="Listaszerbekezds"/>
        <w:jc w:val="both"/>
        <w:rPr>
          <w:b/>
        </w:rPr>
      </w:pPr>
    </w:p>
    <w:p w:rsidR="00EA5B31" w:rsidRDefault="00EA5B31" w:rsidP="008040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040F1" w:rsidRPr="00D24A4A" w:rsidRDefault="00D24A4A" w:rsidP="00D24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A5B31" w:rsidRPr="00D24A4A">
        <w:rPr>
          <w:rFonts w:ascii="Times New Roman" w:hAnsi="Times New Roman" w:cs="Times New Roman"/>
        </w:rPr>
        <w:t>A</w:t>
      </w:r>
      <w:r w:rsidR="008040F1" w:rsidRPr="00D24A4A">
        <w:rPr>
          <w:rFonts w:ascii="Times New Roman" w:hAnsi="Times New Roman" w:cs="Times New Roman"/>
        </w:rPr>
        <w:t xml:space="preserve"> demográfiai folyamatok </w:t>
      </w:r>
      <w:r w:rsidR="00ED4068" w:rsidRPr="00D24A4A">
        <w:rPr>
          <w:rFonts w:ascii="Times New Roman" w:hAnsi="Times New Roman" w:cs="Times New Roman"/>
        </w:rPr>
        <w:t>kedvezőtlen alakulása miatt</w:t>
      </w:r>
      <w:r w:rsidR="008040F1" w:rsidRPr="00D24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a munkaerő-piaci szempontból</w:t>
      </w:r>
      <w:r w:rsidR="008040F1" w:rsidRPr="00D24A4A">
        <w:rPr>
          <w:rFonts w:ascii="Times New Roman" w:hAnsi="Times New Roman" w:cs="Times New Roman"/>
          <w:b/>
          <w:bCs/>
        </w:rPr>
        <w:t xml:space="preserve"> aktívak száma csökkenő ütemben emelkedik tovább</w:t>
      </w:r>
      <w:r w:rsidR="008040F1" w:rsidRPr="00D24A4A">
        <w:rPr>
          <w:rFonts w:ascii="Times New Roman" w:hAnsi="Times New Roman" w:cs="Times New Roman"/>
        </w:rPr>
        <w:t xml:space="preserve">, </w:t>
      </w:r>
      <w:r w:rsidR="008040F1" w:rsidRPr="00D24A4A">
        <w:rPr>
          <w:rFonts w:ascii="Times New Roman" w:hAnsi="Times New Roman" w:cs="Times New Roman"/>
          <w:b/>
          <w:bCs/>
        </w:rPr>
        <w:t xml:space="preserve">2020-ban </w:t>
      </w:r>
      <w:r w:rsidR="008040F1" w:rsidRPr="00D24A4A">
        <w:rPr>
          <w:rFonts w:ascii="Times New Roman" w:hAnsi="Times New Roman" w:cs="Times New Roman"/>
        </w:rPr>
        <w:t xml:space="preserve">pedig </w:t>
      </w:r>
      <w:r w:rsidR="008040F1" w:rsidRPr="00D24A4A">
        <w:rPr>
          <w:rFonts w:ascii="Times New Roman" w:hAnsi="Times New Roman" w:cs="Times New Roman"/>
          <w:b/>
          <w:bCs/>
        </w:rPr>
        <w:t>nem folytatódik a munkaerő-kínálat bővülése</w:t>
      </w:r>
      <w:r w:rsidR="008040F1" w:rsidRPr="00D24A4A">
        <w:rPr>
          <w:rFonts w:ascii="Times New Roman" w:hAnsi="Times New Roman" w:cs="Times New Roman"/>
        </w:rPr>
        <w:t xml:space="preserve">. A demográfiai folyamatok </w:t>
      </w:r>
      <w:r w:rsidR="00ED4068" w:rsidRPr="00D24A4A">
        <w:rPr>
          <w:rFonts w:ascii="Times New Roman" w:hAnsi="Times New Roman" w:cs="Times New Roman"/>
        </w:rPr>
        <w:t xml:space="preserve">egyre erősebb </w:t>
      </w:r>
      <w:r w:rsidR="008040F1" w:rsidRPr="00D24A4A">
        <w:rPr>
          <w:rFonts w:ascii="Times New Roman" w:hAnsi="Times New Roman" w:cs="Times New Roman"/>
        </w:rPr>
        <w:t>korlátot jelentenek a foglalkoz</w:t>
      </w:r>
      <w:r w:rsidR="00ED4068" w:rsidRPr="00D24A4A">
        <w:rPr>
          <w:rFonts w:ascii="Times New Roman" w:hAnsi="Times New Roman" w:cs="Times New Roman"/>
        </w:rPr>
        <w:t>tatásbővülés számára</w:t>
      </w:r>
      <w:r w:rsidR="008040F1" w:rsidRPr="00D24A4A">
        <w:rPr>
          <w:rFonts w:ascii="Times New Roman" w:hAnsi="Times New Roman" w:cs="Times New Roman"/>
        </w:rPr>
        <w:t>.</w:t>
      </w:r>
    </w:p>
    <w:p w:rsidR="008040F1" w:rsidRDefault="008040F1" w:rsidP="00D24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4A4A">
        <w:rPr>
          <w:rFonts w:ascii="Times New Roman" w:hAnsi="Times New Roman" w:cs="Times New Roman"/>
        </w:rPr>
        <w:t>A</w:t>
      </w:r>
      <w:r w:rsidR="00ED4068" w:rsidRPr="00D24A4A">
        <w:rPr>
          <w:rFonts w:ascii="Times New Roman" w:hAnsi="Times New Roman" w:cs="Times New Roman"/>
        </w:rPr>
        <w:t>z MNB várakozása szerint a</w:t>
      </w:r>
      <w:r w:rsidRPr="00D24A4A">
        <w:rPr>
          <w:rFonts w:ascii="Times New Roman" w:hAnsi="Times New Roman" w:cs="Times New Roman"/>
        </w:rPr>
        <w:t xml:space="preserve"> költségvetési intézkedésekkel összhangban </w:t>
      </w:r>
      <w:r w:rsidR="00ED4068" w:rsidRPr="00D24A4A">
        <w:rPr>
          <w:rFonts w:ascii="Times New Roman" w:hAnsi="Times New Roman" w:cs="Times New Roman"/>
        </w:rPr>
        <w:t xml:space="preserve">2020-ig </w:t>
      </w:r>
      <w:r w:rsidRPr="00D24A4A">
        <w:rPr>
          <w:rFonts w:ascii="Times New Roman" w:hAnsi="Times New Roman" w:cs="Times New Roman"/>
          <w:b/>
          <w:bCs/>
        </w:rPr>
        <w:t>a közfoglalkoztatottak száma tartósan 150 ezer fő alácsökken</w:t>
      </w:r>
      <w:r w:rsidRPr="00D24A4A">
        <w:rPr>
          <w:rFonts w:ascii="Times New Roman" w:hAnsi="Times New Roman" w:cs="Times New Roman"/>
        </w:rPr>
        <w:t xml:space="preserve">. A </w:t>
      </w:r>
      <w:r w:rsidRPr="00D24A4A">
        <w:rPr>
          <w:rFonts w:ascii="Times New Roman" w:hAnsi="Times New Roman" w:cs="Times New Roman"/>
          <w:b/>
          <w:bCs/>
        </w:rPr>
        <w:t xml:space="preserve">feszes munkaerőpiaci környezetben a közfoglalkoztatásból kikerülők nagy része visszaáramolhat az elsődleges munkaerőpiacra. </w:t>
      </w:r>
      <w:r w:rsidRPr="00D24A4A">
        <w:rPr>
          <w:rFonts w:ascii="Times New Roman" w:hAnsi="Times New Roman" w:cs="Times New Roman"/>
        </w:rPr>
        <w:t>Az állami szféra közfoglalkoztatás nélküli foglalkoztatottsága érdemben nem változik a következő években.</w:t>
      </w:r>
    </w:p>
    <w:p w:rsidR="00D24A4A" w:rsidRPr="00D24A4A" w:rsidRDefault="00D24A4A" w:rsidP="00D24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040F1" w:rsidRPr="00D24A4A" w:rsidRDefault="008040F1" w:rsidP="00D24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D24A4A">
        <w:rPr>
          <w:rFonts w:ascii="Times New Roman" w:hAnsi="Times New Roman" w:cs="Times New Roman"/>
          <w:b/>
          <w:bCs/>
        </w:rPr>
        <w:t xml:space="preserve">A gazdasági növekedéssel párhuzamosan a versenyszféra tartósan magas munkaerő-kereslete támogatja a foglalkoztatás bővülését. </w:t>
      </w:r>
      <w:r w:rsidRPr="00D24A4A">
        <w:rPr>
          <w:rFonts w:ascii="Times New Roman" w:hAnsi="Times New Roman" w:cs="Times New Roman"/>
        </w:rPr>
        <w:t xml:space="preserve">A csökkenő munkaerő-tartalék illeszkedési problémái (munkaerő nem megfelelő képzettsége és a munkavállalási mobilitás hiánya) ugyanakkor jelentősen megnehezítik a vállalatok létszámbővítési törekvéseit. Összességében a versenyszférában foglalkoztatottak száma az utóbbi évek erőteljes létszámbővülését követően lassuló ütemben emelkedik tovább. </w:t>
      </w:r>
      <w:r w:rsidRPr="00D24A4A">
        <w:rPr>
          <w:rFonts w:ascii="Times New Roman" w:hAnsi="Times New Roman" w:cs="Times New Roman"/>
          <w:b/>
          <w:bCs/>
        </w:rPr>
        <w:t xml:space="preserve">A foglalkoztatottság folytatódó emelkedésével a jelenleg 3,6 százalékos szinten tartózkodó munkanélküliségi ráta </w:t>
      </w:r>
      <w:r w:rsidR="00ED4068" w:rsidRPr="00D24A4A">
        <w:rPr>
          <w:rFonts w:ascii="Times New Roman" w:hAnsi="Times New Roman" w:cs="Times New Roman"/>
          <w:b/>
          <w:bCs/>
        </w:rPr>
        <w:t>2020-ig</w:t>
      </w:r>
      <w:r w:rsidR="00984372" w:rsidRPr="00D24A4A">
        <w:rPr>
          <w:rFonts w:ascii="Times New Roman" w:hAnsi="Times New Roman" w:cs="Times New Roman"/>
          <w:b/>
          <w:bCs/>
        </w:rPr>
        <w:t xml:space="preserve"> 3,3 százalékra csökken.</w:t>
      </w:r>
      <w:r w:rsidR="00350D85">
        <w:rPr>
          <w:rStyle w:val="Lbjegyzet-hivatkozs"/>
          <w:rFonts w:ascii="Times New Roman" w:hAnsi="Times New Roman" w:cs="Times New Roman"/>
          <w:b/>
          <w:bCs/>
        </w:rPr>
        <w:footnoteReference w:id="6"/>
      </w:r>
    </w:p>
    <w:p w:rsidR="008F4951" w:rsidRPr="00D24A4A" w:rsidRDefault="008F4951" w:rsidP="00D24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8F4951" w:rsidRPr="00D24A4A" w:rsidRDefault="008F4951" w:rsidP="00D24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4A4A">
        <w:rPr>
          <w:rFonts w:ascii="Times New Roman" w:hAnsi="Times New Roman" w:cs="Times New Roman"/>
          <w:bCs/>
        </w:rPr>
        <w:t xml:space="preserve">A nemzetgazdasági foglalkoztatottság 1,3 százalékkal bővült éves összevetésben, amelyhez az állam és a versenyszféra foglalkoztatottságának emelkedése egyaránt hozzájárult. </w:t>
      </w:r>
    </w:p>
    <w:p w:rsidR="00EA5B31" w:rsidRPr="00D24A4A" w:rsidRDefault="00EA5B31" w:rsidP="00D24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8040F1" w:rsidRDefault="008040F1" w:rsidP="00D639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E" w:rsidRPr="00635D7E" w:rsidRDefault="00635D7E" w:rsidP="00635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7E">
        <w:rPr>
          <w:rFonts w:ascii="Times New Roman" w:hAnsi="Times New Roman" w:cs="Times New Roman"/>
          <w:b/>
          <w:sz w:val="24"/>
          <w:szCs w:val="24"/>
        </w:rPr>
        <w:t>Foglalkoztatási, aktivitási és munkanélküliségi ráta a nemzetgazdaságban</w:t>
      </w:r>
    </w:p>
    <w:p w:rsidR="00D56E5A" w:rsidRDefault="007E376E" w:rsidP="00635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6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009900" cy="2409825"/>
            <wp:effectExtent l="0" t="0" r="0" b="0"/>
            <wp:docPr id="3" name="Diagram 3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1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5D7E" w:rsidRDefault="00635D7E" w:rsidP="00635D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Forrás: MNB Inflációs jelentés, 2018. szeptember</w:t>
      </w:r>
    </w:p>
    <w:p w:rsidR="00C900EA" w:rsidRDefault="00C900EA" w:rsidP="00C90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F1D" w:rsidRPr="00D24A4A" w:rsidRDefault="00D24A4A" w:rsidP="00D24A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D4AB7" w:rsidRPr="00D24A4A">
        <w:rPr>
          <w:rFonts w:ascii="Times New Roman" w:hAnsi="Times New Roman" w:cs="Times New Roman"/>
        </w:rPr>
        <w:t xml:space="preserve">Új történelmi csúcsra emelkedett az üres álláshelyek száma Magyarországon az idei második negyedévben a Központi </w:t>
      </w:r>
      <w:r>
        <w:rPr>
          <w:rFonts w:ascii="Times New Roman" w:hAnsi="Times New Roman" w:cs="Times New Roman"/>
        </w:rPr>
        <w:t xml:space="preserve">Statisztikai Hivatal </w:t>
      </w:r>
      <w:r w:rsidR="003D4AB7" w:rsidRPr="00D24A4A">
        <w:rPr>
          <w:rFonts w:ascii="Times New Roman" w:hAnsi="Times New Roman" w:cs="Times New Roman"/>
        </w:rPr>
        <w:t xml:space="preserve">adatai szerint. Április és június között 83 600 betöltetlen munkahely volt, ami 27 százalékos növekedést jelent az előző év azonos időszakához képest. </w:t>
      </w:r>
      <w:r w:rsidR="00C45F1D" w:rsidRPr="00D24A4A">
        <w:rPr>
          <w:rFonts w:ascii="Times New Roman" w:hAnsi="Times New Roman" w:cs="Times New Roman"/>
        </w:rPr>
        <w:t>Közel 62 ezer hiányzó munkahely a versenyszférát érintette. Legtöbben a feldolgozóiparból hiányoztak, de jelentős problémával küzdött az építőipar, az információ-kommunikáció vagy a szálláshely-szolgáltatás nemzetgazdasági ág is.</w:t>
      </w:r>
    </w:p>
    <w:p w:rsidR="003D4AB7" w:rsidRPr="00D24A4A" w:rsidRDefault="003D4AB7" w:rsidP="00D24A4A">
      <w:pPr>
        <w:jc w:val="both"/>
        <w:rPr>
          <w:rFonts w:ascii="Times New Roman" w:hAnsi="Times New Roman" w:cs="Times New Roman"/>
          <w:sz w:val="24"/>
          <w:szCs w:val="24"/>
        </w:rPr>
      </w:pPr>
      <w:r w:rsidRPr="00D24A4A">
        <w:rPr>
          <w:rFonts w:ascii="Times New Roman" w:hAnsi="Times New Roman" w:cs="Times New Roman"/>
          <w:b/>
          <w:bCs/>
        </w:rPr>
        <w:t>A gazdaság csaknem minden ágazatában növekedett a munkaerőhiány, ami mostanra komoly korlátja a termelés növekedésének.</w:t>
      </w:r>
      <w:r w:rsidR="00C45F1D" w:rsidRPr="00D24A4A">
        <w:rPr>
          <w:rFonts w:ascii="Times New Roman" w:hAnsi="Times New Roman" w:cs="Times New Roman"/>
          <w:b/>
          <w:bCs/>
        </w:rPr>
        <w:t xml:space="preserve"> </w:t>
      </w:r>
      <w:r w:rsidR="00C45F1D" w:rsidRPr="00D24A4A">
        <w:rPr>
          <w:rFonts w:ascii="Times New Roman" w:hAnsi="Times New Roman" w:cs="Times New Roman"/>
        </w:rPr>
        <w:t xml:space="preserve">A következő időszakban ráadásul tovább fokozódhat a munkaerőhiány, hiszen a magyar gazdaság növekedése erős maradhat. Fontos kiemelni, hogy a cégek termelésnövekedésének egyre markánsabb korlátjává válhat a munkaerőhiány, így visszafoghatja a GDP bővülését is. Ugyanakkor a fokozódó munkaerőhiány miatt a munkavállalók könnyebben harcolnak ki maguknak magasabb bért (és a vállalatok rá vannak kényszerítve a gyors béremelésre, </w:t>
      </w:r>
      <w:r w:rsidR="00C45F1D" w:rsidRPr="00D24A4A">
        <w:rPr>
          <w:rFonts w:ascii="Times New Roman" w:hAnsi="Times New Roman" w:cs="Times New Roman"/>
        </w:rPr>
        <w:lastRenderedPageBreak/>
        <w:t>hogy megtartsák a munkavállalókat), ami rövid távon kedvező hatást gyakorol a belső kereslet bővülésére.</w:t>
      </w:r>
    </w:p>
    <w:p w:rsidR="003D4AB7" w:rsidRDefault="003D4AB7" w:rsidP="00C90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563" w:rsidRDefault="004C4E5E" w:rsidP="005A1D9B">
      <w:pPr>
        <w:pStyle w:val="Listaszerbekezds"/>
        <w:numPr>
          <w:ilvl w:val="0"/>
          <w:numId w:val="3"/>
        </w:numPr>
        <w:jc w:val="both"/>
        <w:rPr>
          <w:b/>
        </w:rPr>
      </w:pPr>
      <w:r w:rsidRPr="005A1D9B">
        <w:rPr>
          <w:b/>
        </w:rPr>
        <w:t>Életkörülmények</w:t>
      </w:r>
      <w:r w:rsidR="004129D6" w:rsidRPr="005A1D9B">
        <w:rPr>
          <w:b/>
        </w:rPr>
        <w:t>, szegénység</w:t>
      </w:r>
      <w:r w:rsidR="002E6625">
        <w:rPr>
          <w:b/>
        </w:rPr>
        <w:t>: az irány jó, de van még hova fejlődni</w:t>
      </w:r>
    </w:p>
    <w:p w:rsidR="005A1D9B" w:rsidRPr="005A1D9B" w:rsidRDefault="005A1D9B" w:rsidP="005A1D9B">
      <w:pPr>
        <w:pStyle w:val="Listaszerbekezds"/>
        <w:jc w:val="both"/>
        <w:rPr>
          <w:b/>
        </w:rPr>
      </w:pPr>
    </w:p>
    <w:p w:rsidR="002915C1" w:rsidRPr="00D24A4A" w:rsidRDefault="00D24A4A" w:rsidP="00D24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4129D6" w:rsidRPr="00D24A4A">
        <w:rPr>
          <w:rFonts w:ascii="Times New Roman" w:hAnsi="Times New Roman" w:cs="Times New Roman"/>
        </w:rPr>
        <w:t xml:space="preserve">Hazánkban 2011-ben a népesség 33,5%-a volt kitéve a szegénység vagy társadalmi kirekesztődés kockázatának, ami 2012-re 34,8%-ra emelkedett, 2013-tól azonban folyamatosan csökkent, 2013 és 2016 között mintegy 632 ezer fő került ki a </w:t>
      </w:r>
      <w:r w:rsidR="004129D6" w:rsidRPr="00D24A4A">
        <w:rPr>
          <w:rFonts w:ascii="Times New Roman" w:hAnsi="Times New Roman" w:cs="Times New Roman"/>
          <w:b/>
          <w:bCs/>
        </w:rPr>
        <w:t>szegénység</w:t>
      </w:r>
      <w:r w:rsidR="00826C66">
        <w:rPr>
          <w:rFonts w:ascii="Times New Roman" w:hAnsi="Times New Roman" w:cs="Times New Roman"/>
          <w:b/>
          <w:bCs/>
        </w:rPr>
        <w:t xml:space="preserve"> </w:t>
      </w:r>
      <w:r w:rsidR="004129D6" w:rsidRPr="00D24A4A">
        <w:rPr>
          <w:rFonts w:ascii="Times New Roman" w:hAnsi="Times New Roman" w:cs="Times New Roman"/>
          <w:b/>
          <w:bCs/>
        </w:rPr>
        <w:t xml:space="preserve">vagy társadalmi kirekesztettség kockázata </w:t>
      </w:r>
      <w:r w:rsidR="004129D6" w:rsidRPr="00D24A4A">
        <w:rPr>
          <w:rFonts w:ascii="Times New Roman" w:hAnsi="Times New Roman" w:cs="Times New Roman"/>
        </w:rPr>
        <w:t>alól. A mutató értéke 2016-ban 25,6%-ra</w:t>
      </w:r>
      <w:r w:rsidR="00826C66">
        <w:rPr>
          <w:rFonts w:ascii="Times New Roman" w:hAnsi="Times New Roman" w:cs="Times New Roman"/>
        </w:rPr>
        <w:t xml:space="preserve"> </w:t>
      </w:r>
      <w:r w:rsidR="004129D6" w:rsidRPr="00D24A4A">
        <w:rPr>
          <w:rFonts w:ascii="Times New Roman" w:hAnsi="Times New Roman" w:cs="Times New Roman"/>
        </w:rPr>
        <w:t xml:space="preserve">mérséklődött, ekkor a szegénység vagy társadalmi kirekesztés kockázatával élők száma 2 millió 465 ezer fő volt, az érintettek aránya az előző évhez képest 0,7, a 2011. évinél pedig 7,9 százalékponttal alacsonyabb volt. </w:t>
      </w:r>
    </w:p>
    <w:p w:rsidR="00D24A4A" w:rsidRDefault="00D24A4A" w:rsidP="00D24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129D6" w:rsidRPr="00D24A4A" w:rsidRDefault="004129D6" w:rsidP="00D24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4A4A">
        <w:rPr>
          <w:rFonts w:ascii="Times New Roman" w:hAnsi="Times New Roman" w:cs="Times New Roman"/>
        </w:rPr>
        <w:t xml:space="preserve">A </w:t>
      </w:r>
      <w:r w:rsidRPr="00D24A4A">
        <w:rPr>
          <w:rFonts w:ascii="Times New Roman" w:hAnsi="Times New Roman" w:cs="Times New Roman"/>
          <w:b/>
          <w:bCs/>
        </w:rPr>
        <w:t xml:space="preserve">relatív jövedelmi szegénység </w:t>
      </w:r>
      <w:r w:rsidRPr="00D24A4A">
        <w:rPr>
          <w:rFonts w:ascii="Times New Roman" w:hAnsi="Times New Roman" w:cs="Times New Roman"/>
        </w:rPr>
        <w:t>mutatójának a viszonyítási pontját a szegénységi küszöb jelenti. Ennek meghatározásához először a mediánjövedelmet határozzák meg: ez az a jövedelemszint, amelynél ugyannyi személynek alacsonyabb a jövedelme, mint ahánynak magasabb. Az Európai Unióban elfogadott módszertan szerint a szegénységi küszöb</w:t>
      </w:r>
      <w:r w:rsidR="000F408B">
        <w:rPr>
          <w:rFonts w:ascii="Times New Roman" w:hAnsi="Times New Roman" w:cs="Times New Roman"/>
        </w:rPr>
        <w:t xml:space="preserve"> </w:t>
      </w:r>
      <w:r w:rsidRPr="00D24A4A">
        <w:rPr>
          <w:rFonts w:ascii="Times New Roman" w:hAnsi="Times New Roman" w:cs="Times New Roman"/>
        </w:rPr>
        <w:t>az adott országra vonatkozó mediánjövedelem 60%-ának megfelelő jövedelem, az ennél alacsonyabb jövedelemmel rendelkezők számítanak szegénynek. A mutató az egyén szegénységét a társadalom többi tagjához való vi</w:t>
      </w:r>
      <w:r w:rsidR="00194BD0" w:rsidRPr="00D24A4A">
        <w:rPr>
          <w:rFonts w:ascii="Times New Roman" w:hAnsi="Times New Roman" w:cs="Times New Roman"/>
        </w:rPr>
        <w:t>szonyítással határozza meg.</w:t>
      </w:r>
      <w:r w:rsidR="00194BD0" w:rsidRPr="00D24A4A">
        <w:rPr>
          <w:rStyle w:val="Lbjegyzet-hivatkozs"/>
          <w:rFonts w:ascii="Times New Roman" w:hAnsi="Times New Roman" w:cs="Times New Roman"/>
        </w:rPr>
        <w:footnoteReference w:id="7"/>
      </w:r>
    </w:p>
    <w:p w:rsidR="000E2E31" w:rsidRPr="00D24A4A" w:rsidRDefault="000E2E31" w:rsidP="00D24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E2E31" w:rsidRPr="00D24A4A" w:rsidRDefault="000E2E31" w:rsidP="00D24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4A4A">
        <w:rPr>
          <w:rFonts w:ascii="Times New Roman" w:hAnsi="Times New Roman" w:cs="Times New Roman"/>
        </w:rPr>
        <w:t>Hazánkban 2016-ban a szegénységi küszöb az egyszemélyes háztartásokra vonatkozóan az előző évinél 5,1%-kal magasabb, havi szinten 77,7 ezer forint volt. Ugyanez az összeg a két felnőttből és két gyermekből álló háztartások esetében havonta átlagosan 163,1 ezer forintot jelentett. A jövedelmi szegények aránya 2010 és 2012 között emelkedett,</w:t>
      </w:r>
      <w:r w:rsidR="000F408B">
        <w:rPr>
          <w:rFonts w:ascii="Times New Roman" w:hAnsi="Times New Roman" w:cs="Times New Roman"/>
        </w:rPr>
        <w:t xml:space="preserve"> </w:t>
      </w:r>
      <w:r w:rsidRPr="00D24A4A">
        <w:rPr>
          <w:rFonts w:ascii="Times New Roman" w:hAnsi="Times New Roman" w:cs="Times New Roman"/>
        </w:rPr>
        <w:t>2013-ban az előző évivel megegyezett, ezt követően azonban csökkent. 2016-ban a teljes népesség 13,4%-a, azaz 1 millió 293 ezer fő volt relatív jövedelmi szegény, arányuk 2015-höz képest 1,1, a 2011. évihez viszonyítva pedig 0,9 százalékponttal csökkent.</w:t>
      </w:r>
    </w:p>
    <w:p w:rsidR="00194BD0" w:rsidRDefault="00194BD0" w:rsidP="000E2E31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</w:p>
    <w:p w:rsidR="009211BC" w:rsidRDefault="009211BC" w:rsidP="008A6D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B90" w:rsidRDefault="008C4B90" w:rsidP="00AF6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343275" cy="4495800"/>
            <wp:effectExtent l="19050" t="0" r="9525" b="0"/>
            <wp:docPr id="17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221" w:rsidRDefault="00AF6221" w:rsidP="00AF6221">
      <w:pPr>
        <w:autoSpaceDE w:val="0"/>
        <w:autoSpaceDN w:val="0"/>
        <w:adjustRightInd w:val="0"/>
        <w:spacing w:after="0" w:line="240" w:lineRule="auto"/>
        <w:jc w:val="center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>Forrás: KSH: Magyarország 2017</w:t>
      </w:r>
    </w:p>
    <w:p w:rsidR="00AF6221" w:rsidRDefault="00AF6221" w:rsidP="007A44D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</w:p>
    <w:p w:rsidR="00AF6221" w:rsidRDefault="00AF6221" w:rsidP="007A44D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</w:p>
    <w:p w:rsidR="00CB27A4" w:rsidRPr="000F408B" w:rsidRDefault="000F408B" w:rsidP="000F40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A44D9" w:rsidRPr="000F408B">
        <w:rPr>
          <w:rFonts w:ascii="Times New Roman" w:hAnsi="Times New Roman" w:cs="Times New Roman"/>
        </w:rPr>
        <w:t>Az Európai Unió teljes lakosságának 23,5%-a (118 millió fő) volt kitéve 2015-ben a szegénység vagy</w:t>
      </w:r>
      <w:r>
        <w:rPr>
          <w:rFonts w:ascii="Times New Roman" w:hAnsi="Times New Roman" w:cs="Times New Roman"/>
        </w:rPr>
        <w:t xml:space="preserve"> </w:t>
      </w:r>
      <w:r w:rsidR="007A44D9" w:rsidRPr="000F408B">
        <w:rPr>
          <w:rFonts w:ascii="Times New Roman" w:hAnsi="Times New Roman" w:cs="Times New Roman"/>
        </w:rPr>
        <w:t xml:space="preserve">társadalmi kirekesztődés kockázatának. Az érintettek aránya 2010-hez képest a tagállamok többségében csökkent, a legnagyobb mértékben Lettországban (12 százalékponttal), Bulgáriában (8,7 százalékponttal), Lengyelországban (5,3 százalékponttal), Írországban és Magyarországon (egyaránt 5,2 százalékponttal). </w:t>
      </w:r>
    </w:p>
    <w:p w:rsidR="008C4B90" w:rsidRPr="000F408B" w:rsidRDefault="007A44D9" w:rsidP="000F40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F408B">
        <w:rPr>
          <w:rFonts w:ascii="Times New Roman" w:hAnsi="Times New Roman" w:cs="Times New Roman"/>
        </w:rPr>
        <w:t>Hazánkban 2015-ben a népesség 26,3%-át érintette a szegénység vagy társadalmi kirekesztődés kockázata. Bár ez az arány 2013 óta évről évre mérséklődik, az uniós átlagnál valamelyest magasabb és a tagállamok rangsorában a 10. legmagasabb érték. A tagállamok közül a legfrissebb adatok szerint is Csehország rendelkezett a legalacsonyabb arányszámmal (13,3%), a legmagasabbal pedig Bulgária (40,4%) és Románia (38,8%).</w:t>
      </w:r>
    </w:p>
    <w:p w:rsidR="0006231C" w:rsidRDefault="0006231C" w:rsidP="007A44D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</w:p>
    <w:p w:rsidR="0006231C" w:rsidRDefault="0006231C" w:rsidP="007A44D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noProof/>
          <w:sz w:val="20"/>
          <w:szCs w:val="20"/>
          <w:lang w:eastAsia="hu-HU"/>
        </w:rPr>
        <w:lastRenderedPageBreak/>
        <w:drawing>
          <wp:inline distT="0" distB="0" distL="0" distR="0">
            <wp:extent cx="5760720" cy="4191264"/>
            <wp:effectExtent l="19050" t="0" r="0" b="0"/>
            <wp:docPr id="18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1C" w:rsidRDefault="00CB27A4" w:rsidP="00CB27A4">
      <w:pPr>
        <w:autoSpaceDE w:val="0"/>
        <w:autoSpaceDN w:val="0"/>
        <w:adjustRightInd w:val="0"/>
        <w:spacing w:after="0" w:line="240" w:lineRule="auto"/>
        <w:jc w:val="center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>Forrás: KSH: Magyarország 2017</w:t>
      </w:r>
    </w:p>
    <w:p w:rsidR="00CB27A4" w:rsidRDefault="00CB27A4" w:rsidP="0006231C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</w:p>
    <w:p w:rsidR="00CB27A4" w:rsidRDefault="00CB27A4" w:rsidP="0006231C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</w:p>
    <w:p w:rsidR="0006231C" w:rsidRPr="004F6644" w:rsidRDefault="0006231C" w:rsidP="004F6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6644">
        <w:rPr>
          <w:rFonts w:ascii="Times New Roman" w:hAnsi="Times New Roman" w:cs="Times New Roman"/>
        </w:rPr>
        <w:t>A jövedelmi szegénység aránya hazánkban az előző évek növekedését és stagnálását követően a 2015-ös referenciaévben 0,4 százalékponttal csökkent az előző évhez képest (2015-ös referenciaévben 14,5% volt), ami az EU-28 átlagánál (17,3%) kisebb, az uniós rangsorban a 9. legalacsonyabbnak számított. Az Európai Unió tagállamai közül a népesség legnagyobb része Romániában (25,3%) és Bulgáriában (22,9%) élt a szegénységi küszöb alatt. A legalacsonyabb arányszámmal Csehország (9,7%), Finnország (11,6%), illetve Dánia (11,9%) rendelkezett.</w:t>
      </w:r>
    </w:p>
    <w:p w:rsidR="00C9277D" w:rsidRDefault="00C9277D" w:rsidP="0006231C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</w:p>
    <w:p w:rsidR="00C9277D" w:rsidRDefault="00C9277D" w:rsidP="0006231C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</w:p>
    <w:p w:rsidR="0006231C" w:rsidRDefault="0006231C" w:rsidP="007A44D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0"/>
          <w:szCs w:val="20"/>
        </w:rPr>
      </w:pPr>
    </w:p>
    <w:p w:rsidR="009211BC" w:rsidRDefault="009211BC" w:rsidP="005A1D9B">
      <w:pPr>
        <w:pStyle w:val="Listaszerbekezds"/>
        <w:numPr>
          <w:ilvl w:val="0"/>
          <w:numId w:val="3"/>
        </w:numPr>
        <w:jc w:val="both"/>
        <w:rPr>
          <w:b/>
        </w:rPr>
      </w:pPr>
      <w:r w:rsidRPr="005A1D9B">
        <w:rPr>
          <w:b/>
        </w:rPr>
        <w:t>2019-es adóváltozások hatása</w:t>
      </w:r>
    </w:p>
    <w:p w:rsidR="005A1D9B" w:rsidRPr="005A1D9B" w:rsidRDefault="005A1D9B" w:rsidP="005A1D9B">
      <w:pPr>
        <w:pStyle w:val="Listaszerbekezds"/>
        <w:jc w:val="both"/>
        <w:rPr>
          <w:b/>
        </w:rPr>
      </w:pPr>
    </w:p>
    <w:p w:rsidR="00CA3269" w:rsidRPr="000048F6" w:rsidRDefault="00CA3269" w:rsidP="00004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0048F6">
        <w:rPr>
          <w:rFonts w:ascii="Times New Roman" w:hAnsi="Times New Roman" w:cs="Times New Roman"/>
          <w:b/>
          <w:bCs/>
        </w:rPr>
        <w:t>Cafetéria rendszer átalakítása</w:t>
      </w:r>
      <w:r w:rsidR="00CF0CCD" w:rsidRPr="000048F6">
        <w:rPr>
          <w:rFonts w:ascii="Times New Roman" w:hAnsi="Times New Roman" w:cs="Times New Roman"/>
          <w:b/>
          <w:bCs/>
        </w:rPr>
        <w:t xml:space="preserve"> szükségtelen és rossz lépés</w:t>
      </w:r>
    </w:p>
    <w:p w:rsidR="00CA3269" w:rsidRPr="000048F6" w:rsidRDefault="00CA3269" w:rsidP="00004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A3BEF" w:rsidRPr="000048F6" w:rsidRDefault="009211BC" w:rsidP="00004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048F6">
        <w:rPr>
          <w:rFonts w:ascii="Times New Roman" w:hAnsi="Times New Roman" w:cs="Times New Roman"/>
        </w:rPr>
        <w:t xml:space="preserve">A cafetéria rendszer három eleme közül az adómentes juttatások csaknem teljeskörűen megszűnnek, a kedvezményes béren kívüli juttatások kategóriában a készpénz juttatás eltörlésével csak a SZÉP kártya marad évi 450 ezer forintos összeghatárig, míg az egyes meghatározott juttatások szintén nagyrészt megszűnnek, vagy bérként adóznak tovább. </w:t>
      </w:r>
    </w:p>
    <w:p w:rsidR="003870AF" w:rsidRPr="006C18CF" w:rsidRDefault="003870AF" w:rsidP="0038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Munkavállalókra gyakorolt</w:t>
      </w:r>
      <w:r w:rsidRPr="006C1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hatások</w:t>
      </w:r>
    </w:p>
    <w:p w:rsidR="003870AF" w:rsidRDefault="003870AF" w:rsidP="00387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Objektív Kutatóintézet felmérését alapul véve évi 360 000 forintos munkaadói költség mellett az alábbi jövedelmek keletkeznek a munkavállalónál:</w:t>
      </w:r>
    </w:p>
    <w:tbl>
      <w:tblPr>
        <w:tblStyle w:val="Rcsostblzat"/>
        <w:tblW w:w="0" w:type="auto"/>
        <w:jc w:val="center"/>
        <w:tblLook w:val="04A0"/>
      </w:tblPr>
      <w:tblGrid>
        <w:gridCol w:w="2376"/>
        <w:gridCol w:w="1985"/>
        <w:gridCol w:w="2123"/>
        <w:gridCol w:w="1242"/>
      </w:tblGrid>
      <w:tr w:rsidR="003870AF" w:rsidTr="003870AF">
        <w:trPr>
          <w:jc w:val="center"/>
        </w:trPr>
        <w:tc>
          <w:tcPr>
            <w:tcW w:w="2376" w:type="dxa"/>
          </w:tcPr>
          <w:p w:rsidR="003870AF" w:rsidRPr="00EC2024" w:rsidRDefault="003870AF" w:rsidP="00387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C2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Cafeteria elem</w:t>
            </w:r>
          </w:p>
        </w:tc>
        <w:tc>
          <w:tcPr>
            <w:tcW w:w="1985" w:type="dxa"/>
          </w:tcPr>
          <w:p w:rsidR="003870AF" w:rsidRDefault="003870AF" w:rsidP="00387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Munkaadó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költsége ft/év</w:t>
            </w:r>
          </w:p>
        </w:tc>
        <w:tc>
          <w:tcPr>
            <w:tcW w:w="2123" w:type="dxa"/>
          </w:tcPr>
          <w:p w:rsidR="003870AF" w:rsidRDefault="003870AF" w:rsidP="00387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Munkavállaló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jövedelme ft/év</w:t>
            </w:r>
          </w:p>
        </w:tc>
        <w:tc>
          <w:tcPr>
            <w:tcW w:w="1242" w:type="dxa"/>
          </w:tcPr>
          <w:p w:rsidR="003870AF" w:rsidRDefault="003870AF" w:rsidP="00387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ft/hó</w:t>
            </w:r>
          </w:p>
        </w:tc>
      </w:tr>
      <w:tr w:rsidR="003870AF" w:rsidTr="003870AF">
        <w:trPr>
          <w:jc w:val="center"/>
        </w:trPr>
        <w:tc>
          <w:tcPr>
            <w:tcW w:w="2376" w:type="dxa"/>
          </w:tcPr>
          <w:p w:rsidR="003870AF" w:rsidRDefault="003870AF" w:rsidP="00387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Szép-kártya</w:t>
            </w:r>
          </w:p>
        </w:tc>
        <w:tc>
          <w:tcPr>
            <w:tcW w:w="1985" w:type="dxa"/>
          </w:tcPr>
          <w:p w:rsidR="003870AF" w:rsidRDefault="003870AF" w:rsidP="00387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360 000</w:t>
            </w:r>
          </w:p>
        </w:tc>
        <w:tc>
          <w:tcPr>
            <w:tcW w:w="2123" w:type="dxa"/>
          </w:tcPr>
          <w:p w:rsidR="003870AF" w:rsidRDefault="003870AF" w:rsidP="00387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268 000</w:t>
            </w:r>
          </w:p>
        </w:tc>
        <w:tc>
          <w:tcPr>
            <w:tcW w:w="1242" w:type="dxa"/>
          </w:tcPr>
          <w:p w:rsidR="003870AF" w:rsidRDefault="003870AF" w:rsidP="00387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22 330</w:t>
            </w:r>
          </w:p>
        </w:tc>
      </w:tr>
      <w:tr w:rsidR="003870AF" w:rsidTr="003870AF">
        <w:trPr>
          <w:jc w:val="center"/>
        </w:trPr>
        <w:tc>
          <w:tcPr>
            <w:tcW w:w="2376" w:type="dxa"/>
          </w:tcPr>
          <w:p w:rsidR="003870AF" w:rsidRDefault="003870AF" w:rsidP="00387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Lakhatási támogatás</w:t>
            </w:r>
          </w:p>
        </w:tc>
        <w:tc>
          <w:tcPr>
            <w:tcW w:w="1985" w:type="dxa"/>
          </w:tcPr>
          <w:p w:rsidR="003870AF" w:rsidRDefault="003870AF" w:rsidP="00387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360 000</w:t>
            </w:r>
          </w:p>
        </w:tc>
        <w:tc>
          <w:tcPr>
            <w:tcW w:w="2123" w:type="dxa"/>
          </w:tcPr>
          <w:p w:rsidR="003870AF" w:rsidRDefault="003870AF" w:rsidP="00387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360 000</w:t>
            </w:r>
          </w:p>
        </w:tc>
        <w:tc>
          <w:tcPr>
            <w:tcW w:w="1242" w:type="dxa"/>
          </w:tcPr>
          <w:p w:rsidR="003870AF" w:rsidRDefault="003870AF" w:rsidP="00387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30 000</w:t>
            </w:r>
          </w:p>
        </w:tc>
      </w:tr>
      <w:tr w:rsidR="003870AF" w:rsidTr="003870AF">
        <w:trPr>
          <w:jc w:val="center"/>
        </w:trPr>
        <w:tc>
          <w:tcPr>
            <w:tcW w:w="2376" w:type="dxa"/>
          </w:tcPr>
          <w:p w:rsidR="003870AF" w:rsidRDefault="003870AF" w:rsidP="00387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Nyugdíjpénztári hozzájárulás</w:t>
            </w:r>
          </w:p>
        </w:tc>
        <w:tc>
          <w:tcPr>
            <w:tcW w:w="1985" w:type="dxa"/>
          </w:tcPr>
          <w:p w:rsidR="003870AF" w:rsidRDefault="003870AF" w:rsidP="00387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360 000</w:t>
            </w:r>
          </w:p>
        </w:tc>
        <w:tc>
          <w:tcPr>
            <w:tcW w:w="2123" w:type="dxa"/>
          </w:tcPr>
          <w:p w:rsidR="003870AF" w:rsidRDefault="003870AF" w:rsidP="00387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264 500</w:t>
            </w:r>
          </w:p>
        </w:tc>
        <w:tc>
          <w:tcPr>
            <w:tcW w:w="1242" w:type="dxa"/>
          </w:tcPr>
          <w:p w:rsidR="003870AF" w:rsidRDefault="003870AF" w:rsidP="00387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22 040</w:t>
            </w:r>
          </w:p>
        </w:tc>
      </w:tr>
      <w:tr w:rsidR="003870AF" w:rsidTr="003870AF">
        <w:trPr>
          <w:jc w:val="center"/>
        </w:trPr>
        <w:tc>
          <w:tcPr>
            <w:tcW w:w="2376" w:type="dxa"/>
          </w:tcPr>
          <w:p w:rsidR="003870AF" w:rsidRPr="00EC2024" w:rsidRDefault="003870AF" w:rsidP="00387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C2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Munkabér</w:t>
            </w:r>
          </w:p>
        </w:tc>
        <w:tc>
          <w:tcPr>
            <w:tcW w:w="1985" w:type="dxa"/>
          </w:tcPr>
          <w:p w:rsidR="003870AF" w:rsidRDefault="003870AF" w:rsidP="00387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360 000</w:t>
            </w:r>
          </w:p>
        </w:tc>
        <w:tc>
          <w:tcPr>
            <w:tcW w:w="2123" w:type="dxa"/>
          </w:tcPr>
          <w:p w:rsidR="003870AF" w:rsidRDefault="003870AF" w:rsidP="00387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198 000</w:t>
            </w:r>
          </w:p>
        </w:tc>
        <w:tc>
          <w:tcPr>
            <w:tcW w:w="1242" w:type="dxa"/>
          </w:tcPr>
          <w:p w:rsidR="003870AF" w:rsidRDefault="003870AF" w:rsidP="003870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16 500</w:t>
            </w:r>
          </w:p>
        </w:tc>
      </w:tr>
    </w:tbl>
    <w:p w:rsidR="003870AF" w:rsidRDefault="003870AF" w:rsidP="00387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alapján jól látható, hogy ha munkabérként kívánják valakinek családi adókedvezmény nélkül kifizetni például a lakhatási támogatását, akkor a munkavállaló havonta 13 500 forinttal, évente pedig 162 000 forinttal jár rosszabbul. A KSH adatai szerint a Magyarországon a nettó kereset családi adókedvezmény nélkül 216 000 forint volt. A bemutatott példa alapján egy áltagos jövedelmű munkavállaló a változtatást követően egy </w:t>
      </w:r>
      <w:r w:rsidR="00174CFA">
        <w:rPr>
          <w:rFonts w:ascii="Times New Roman" w:eastAsia="Times New Roman" w:hAnsi="Times New Roman" w:cs="Times New Roman"/>
          <w:sz w:val="24"/>
          <w:szCs w:val="24"/>
          <w:lang w:eastAsia="hu-HU"/>
        </w:rPr>
        <w:t>év alatt éves munkabérének több mint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6%-át veszítheti el.</w:t>
      </w:r>
    </w:p>
    <w:p w:rsidR="003870AF" w:rsidRDefault="003870AF" w:rsidP="00387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Abban az esetben ha Szép-kártyán kapja meg az összeget, akkor havonta 7 670,  évente pedig 92 000 forinttal kap kevesebb</w:t>
      </w:r>
      <w:r w:rsidR="00174CFA">
        <w:rPr>
          <w:rFonts w:ascii="Times New Roman" w:eastAsia="Times New Roman" w:hAnsi="Times New Roman" w:cs="Times New Roman"/>
          <w:sz w:val="24"/>
          <w:szCs w:val="24"/>
          <w:lang w:eastAsia="hu-HU"/>
        </w:rPr>
        <w:t>et. Ez az éves bérének közel 3,5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%-a.</w:t>
      </w:r>
    </w:p>
    <w:p w:rsidR="00CA3269" w:rsidRPr="000048F6" w:rsidRDefault="00CA3269" w:rsidP="00004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A3269" w:rsidRPr="000048F6" w:rsidRDefault="00CA3269" w:rsidP="00004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0048F6">
        <w:rPr>
          <w:rFonts w:ascii="Times New Roman" w:hAnsi="Times New Roman" w:cs="Times New Roman"/>
          <w:b/>
          <w:bCs/>
        </w:rPr>
        <w:t>Szociális hozzájárulási adó hatásai</w:t>
      </w:r>
    </w:p>
    <w:p w:rsidR="00CA3269" w:rsidRPr="000048F6" w:rsidRDefault="00CA3269" w:rsidP="00004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CA3269" w:rsidRPr="000048F6" w:rsidRDefault="00CA3269" w:rsidP="00004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048F6">
        <w:rPr>
          <w:rFonts w:ascii="Times New Roman" w:hAnsi="Times New Roman" w:cs="Times New Roman"/>
          <w:b/>
          <w:bCs/>
        </w:rPr>
        <w:t xml:space="preserve">A benyújtott 2019-es költségvetési törvényjavaslat feltételesen tartalmazza a szociális hozzájárulási adó jövő évre várható 2 százalékpontos csökkenését. </w:t>
      </w:r>
      <w:r w:rsidRPr="000048F6">
        <w:rPr>
          <w:rFonts w:ascii="Times New Roman" w:hAnsi="Times New Roman" w:cs="Times New Roman"/>
        </w:rPr>
        <w:t>Az adócsökkentést a javaslat a bérmegállapodásban foglaltak szerint a versenyszféra fogyasztói árindex-szel korrigált bruttó reálbéreinek 6 százalékos növekedéséhez kötötte. A költségvetés általános indoklásának szövegezése alapján az adókulcs újabb mérséklődésére 2019. második felétől kerülhet sor, vagyis a reálbérek növekedése a következő év első negyedében éri el a feltételül szabott küszöböt. Az MNB előrejelzése szerint az adónem 2019. július 1-től történő 2 százalékpontos csökkentése pénzforgalmi szemléletben mintegy 100 milliárd forint megtakarítást</w:t>
      </w:r>
    </w:p>
    <w:p w:rsidR="00CA3269" w:rsidRDefault="00CA3269" w:rsidP="00004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048F6">
        <w:rPr>
          <w:rFonts w:ascii="Times New Roman" w:hAnsi="Times New Roman" w:cs="Times New Roman"/>
        </w:rPr>
        <w:t>jelent a hazai munkáltatók számára 2019-ben.</w:t>
      </w:r>
    </w:p>
    <w:p w:rsidR="008A6270" w:rsidRDefault="008A6270" w:rsidP="008A627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Gyermektelen, átlagjövedelmet kereső munkavállaló átlagos adóéke 2017-ben az EU tagállamaiban, illetve</w:t>
      </w:r>
    </w:p>
    <w:p w:rsidR="008A6270" w:rsidRDefault="008A6270" w:rsidP="008A627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Magyarországon a szociális hozzájárulási adó bérmegállapodásban rögzített további 8 százalékpontos</w:t>
      </w:r>
    </w:p>
    <w:p w:rsidR="008A6270" w:rsidRDefault="008A6270" w:rsidP="008A62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csökkenése esetén</w:t>
      </w:r>
    </w:p>
    <w:p w:rsidR="00ED1805" w:rsidRDefault="00ED1805" w:rsidP="00CA32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D1805" w:rsidRDefault="00ED1805" w:rsidP="00251D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hu-HU"/>
        </w:rPr>
        <w:drawing>
          <wp:inline distT="0" distB="0" distL="0" distR="0">
            <wp:extent cx="5760720" cy="2893552"/>
            <wp:effectExtent l="19050" t="0" r="0" b="0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05" w:rsidRDefault="00ED1805" w:rsidP="00CA32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D1805" w:rsidRDefault="00267ECE" w:rsidP="00251D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Forrás: MNB Költségvetési jelentés, 2018. július</w:t>
      </w:r>
    </w:p>
    <w:p w:rsidR="00ED1805" w:rsidRDefault="00ED1805" w:rsidP="00CA32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D1805" w:rsidRPr="00CA3269" w:rsidRDefault="00ED1805" w:rsidP="00CA32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048F6" w:rsidRPr="000048F6" w:rsidRDefault="000048F6" w:rsidP="00004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048F6">
        <w:rPr>
          <w:rFonts w:ascii="Times New Roman" w:hAnsi="Times New Roman" w:cs="Times New Roman"/>
          <w:b/>
          <w:bCs/>
        </w:rPr>
        <w:t xml:space="preserve">Az adóék ennek megfelelően fokozatosan csökken a következő évekre előretekintve. </w:t>
      </w:r>
      <w:r w:rsidRPr="000048F6">
        <w:rPr>
          <w:rFonts w:ascii="Times New Roman" w:hAnsi="Times New Roman" w:cs="Times New Roman"/>
        </w:rPr>
        <w:t>Az adóék mutatója azt fejezi ki, hogy a munkáltató által kifizetett bruttó bérköltségből (nettó kereset, illetve munkavállalói és munkáltatói terhek) mekkora részt von el az állam. A tavalyi évben ez az arány 46,2 százalék volt, ami érdemi csökkenést jelent a korábbi évekhez képest, ugyanakkor európai uniós összevetésben továbbra is magasnak tekinthető. A bérmegállapodásban rögzített szabályok alapján a szociális hozzájárulási adó a tavalyi 5 százalékpontos, valamint az idei 2,5 százalékpontos csökkenés után további négyszer 2 százalékponttal mérséklődik, így az adókulcs a korábbi 27 százalékról fokozatosan kevesebb, mint a felére, 11,5 százalékra csökken. A kulcsok mérséklése az adóékben is megmutatkozik, ami így az adócsökkentés végére 41,2 százalékra csökkenhet, ami már csaknem megegyezik a 2017. évi európai uniós átlaggal.</w:t>
      </w:r>
    </w:p>
    <w:p w:rsidR="000048F6" w:rsidRPr="000048F6" w:rsidRDefault="000048F6" w:rsidP="00004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211BC" w:rsidRPr="000048F6" w:rsidRDefault="00816688" w:rsidP="00004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048F6">
        <w:rPr>
          <w:rFonts w:ascii="Times New Roman" w:hAnsi="Times New Roman" w:cs="Times New Roman"/>
        </w:rPr>
        <w:t>Az alacsonyabb jövedelműek és hátrányosabb munkaerő-piaci helyzetben lévő foglalkoztatottak adóterheinek csökkentését a különböző célzott kedvezmények segítik. A Munkahelyvédelmi Akcióterv célcsoportjai átalakulnak 2019-ben, illetve a 100 ezer forintos havi bruttó összeghatárról a mindenkori minimálbérre emelkedik a munkáltatók által igénybe vehető kedvezmények alapja. A munkavállalók legnagyobb mértékű kedvezménye a családi adó- és járulékkedvezmény,</w:t>
      </w:r>
      <w:r w:rsidR="00835043" w:rsidRPr="000048F6">
        <w:rPr>
          <w:rFonts w:ascii="Times New Roman" w:hAnsi="Times New Roman" w:cs="Times New Roman"/>
        </w:rPr>
        <w:t xml:space="preserve"> </w:t>
      </w:r>
      <w:r w:rsidRPr="000048F6">
        <w:rPr>
          <w:rFonts w:ascii="Times New Roman" w:hAnsi="Times New Roman" w:cs="Times New Roman"/>
        </w:rPr>
        <w:t>amelynél a két gyermeket nevelők kedvezménye az idei eltartottanként 17,5 ezer forintról 20 ezer forintra emelkedik jövőre, ez pedig a nettó keresetek növekedésén keresztül hozzájárul az adóék 2</w:t>
      </w:r>
      <w:r w:rsidR="00835043" w:rsidRPr="000048F6">
        <w:rPr>
          <w:rFonts w:ascii="Times New Roman" w:hAnsi="Times New Roman" w:cs="Times New Roman"/>
        </w:rPr>
        <w:t>019-es mérséklődéséhez</w:t>
      </w:r>
      <w:r w:rsidRPr="000048F6">
        <w:rPr>
          <w:rFonts w:ascii="Times New Roman" w:hAnsi="Times New Roman" w:cs="Times New Roman"/>
        </w:rPr>
        <w:t>. A kétgyermekesek átlagos adóéke ezzel a tavalyi 37 százalékról jövőre 34,6 százalékra csökken, majd a szociális hozzájárulási adó teljeskörű, négyszer 2 százalékpontos csökkentése után várhatóan 33 százalék alá mérséklődik. Ez a szint alacsonyabb, mint a 2017-es európai uniós tagállami átlag, illetve a jelenlegi folyamatok alapján előreláthatóan az uniós országok alsó harmadához tartozhat.</w:t>
      </w:r>
    </w:p>
    <w:p w:rsidR="008A6270" w:rsidRPr="000048F6" w:rsidRDefault="008A6270" w:rsidP="00004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A6270" w:rsidRDefault="008A6270" w:rsidP="0081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A6270" w:rsidRDefault="008A6270" w:rsidP="008A62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Kétgyermekes, az átlagbér 100 és 67 százalékát kereső család átlagos adóéke 2017-ben az EU tagállamaiban, illetve Magyarországon a szociális hozzájárulási adó bérmegállapodásban rögzített további 8 százalékpontos csökkenése esetén</w:t>
      </w:r>
    </w:p>
    <w:p w:rsidR="00251DAC" w:rsidRPr="00CA3269" w:rsidRDefault="00251DAC" w:rsidP="0081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A6D53" w:rsidRDefault="00ED1805" w:rsidP="00251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noProof/>
          <w:sz w:val="20"/>
          <w:szCs w:val="20"/>
          <w:lang w:eastAsia="hu-HU"/>
        </w:rPr>
        <w:drawing>
          <wp:inline distT="0" distB="0" distL="0" distR="0">
            <wp:extent cx="5760720" cy="2832858"/>
            <wp:effectExtent l="19050" t="0" r="0" b="0"/>
            <wp:docPr id="1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ECE" w:rsidRDefault="00267ECE" w:rsidP="00251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Forrás: MNB Költségvetési jelentés, 2018. július</w:t>
      </w:r>
    </w:p>
    <w:p w:rsidR="008A6D53" w:rsidRDefault="008A6D53" w:rsidP="005A1D9B">
      <w:pPr>
        <w:pStyle w:val="Listaszerbekezds"/>
        <w:numPr>
          <w:ilvl w:val="0"/>
          <w:numId w:val="3"/>
        </w:numPr>
        <w:jc w:val="both"/>
        <w:rPr>
          <w:b/>
        </w:rPr>
      </w:pPr>
      <w:r w:rsidRPr="005A1D9B">
        <w:rPr>
          <w:b/>
        </w:rPr>
        <w:lastRenderedPageBreak/>
        <w:t>Kihívások</w:t>
      </w:r>
    </w:p>
    <w:p w:rsidR="005A1D9B" w:rsidRPr="005A1D9B" w:rsidRDefault="005A1D9B" w:rsidP="005A1D9B">
      <w:pPr>
        <w:pStyle w:val="Listaszerbekezds"/>
        <w:jc w:val="both"/>
        <w:rPr>
          <w:b/>
        </w:rPr>
      </w:pPr>
    </w:p>
    <w:p w:rsidR="007F4A6F" w:rsidRPr="000048F6" w:rsidRDefault="000048F6" w:rsidP="000048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F4A6F" w:rsidRPr="000048F6">
        <w:rPr>
          <w:rFonts w:ascii="Times New Roman" w:hAnsi="Times New Roman" w:cs="Times New Roman"/>
        </w:rPr>
        <w:t xml:space="preserve">A magyar munkaerőpiac mennyiségi és minőségi kihívás előtt áll. A romló demográfiai helyzet komoly feladat elé állítja az államot. A jelenlegi folyamatok alapján 2030-ig a munkaképes korú lakosság jelentősen, 6%-kal csökken, ezért demográfiai fordulat kell ahhoz, hogy az aktív népesség legalább a mai szinten maradjon. Az oktatási rendszernek a jelenleginél lényegesen versenyképesebb tudás kell adni.  </w:t>
      </w:r>
    </w:p>
    <w:p w:rsidR="007F4A6F" w:rsidRDefault="007F4A6F" w:rsidP="000048F6">
      <w:pPr>
        <w:spacing w:after="0"/>
        <w:jc w:val="both"/>
        <w:rPr>
          <w:rFonts w:ascii="Times New Roman" w:hAnsi="Times New Roman" w:cs="Times New Roman"/>
          <w:bCs/>
        </w:rPr>
      </w:pPr>
      <w:r w:rsidRPr="000048F6">
        <w:rPr>
          <w:rFonts w:ascii="Times New Roman" w:hAnsi="Times New Roman" w:cs="Times New Roman"/>
          <w:bCs/>
        </w:rPr>
        <w:t>A jövedelmet érintő fiskális beavatkozások természetesen a munkaerő-piacra is kedvezően hatnak, az állam a bérszínvonal, a munkaköltségek szabályozásával és a munkapiacon való közvetlen jelenlétével is kihatással lehet a gazdaság teljesítményére. A 2010 óta végrehajtott munkapiaci reformoknak köszönhetően az élénkülés folyamatos. Mind a foglalkoztatás, mind az aktivitás európai összehasonlításban is kiemelkedő mértékben emelkedett, miközben a munkanélküliségi ráta tovább csökkent. A teljes foglalkoztatottság immár elérhető távolságba került, ez a jelenség egyébként komoly kihívás is egyben a magyar gazdaság számára.</w:t>
      </w:r>
    </w:p>
    <w:p w:rsidR="008C2525" w:rsidRPr="000048F6" w:rsidRDefault="008C2525" w:rsidP="000048F6">
      <w:pPr>
        <w:spacing w:after="0"/>
        <w:jc w:val="both"/>
        <w:rPr>
          <w:rFonts w:ascii="Times New Roman" w:hAnsi="Times New Roman" w:cs="Times New Roman"/>
          <w:bCs/>
        </w:rPr>
      </w:pPr>
    </w:p>
    <w:p w:rsidR="007F4A6F" w:rsidRPr="000048F6" w:rsidRDefault="007F4A6F" w:rsidP="000048F6">
      <w:pPr>
        <w:spacing w:after="0"/>
        <w:jc w:val="both"/>
        <w:rPr>
          <w:rFonts w:ascii="Times New Roman" w:hAnsi="Times New Roman" w:cs="Times New Roman"/>
          <w:bCs/>
        </w:rPr>
      </w:pPr>
      <w:r w:rsidRPr="000048F6">
        <w:rPr>
          <w:rFonts w:ascii="Times New Roman" w:hAnsi="Times New Roman" w:cs="Times New Roman"/>
          <w:bCs/>
        </w:rPr>
        <w:t xml:space="preserve">Az országon belül jelentős regionális eltérések vannak a keresetek tekintetében is, ami nem feltétlenül kedvező állapot, de munkaerő-piaci szempontból serkenthetik az országon belüli mobilitást. A közmunkásbérhez mért nagyobb különbség a közfoglalkoztatottak versenyszférába áramlását segíti, valamint a bérek gyorsabb felzárkózása a külföldi munkavállalás vonzerejét is csökkentheti. </w:t>
      </w:r>
    </w:p>
    <w:p w:rsidR="007F4A6F" w:rsidRDefault="007F4A6F" w:rsidP="000048F6">
      <w:pPr>
        <w:spacing w:after="0"/>
        <w:jc w:val="both"/>
        <w:rPr>
          <w:rFonts w:ascii="Times New Roman" w:hAnsi="Times New Roman" w:cs="Times New Roman"/>
          <w:bCs/>
        </w:rPr>
      </w:pPr>
      <w:r w:rsidRPr="000048F6">
        <w:rPr>
          <w:rFonts w:ascii="Times New Roman" w:hAnsi="Times New Roman" w:cs="Times New Roman"/>
          <w:bCs/>
        </w:rPr>
        <w:t>Az e-közigazgatás, illetve a digitalizáció térnyerésének állami támogatásával akár az államigazgatásból is átcsoportosítható lenne munkaerőkapacitás a versenyszféra számára. Hozzájárulva ezzel a gazdaság növekedését egyre jobban korlátozó munkaerőhiány csökkentéséhez.</w:t>
      </w:r>
    </w:p>
    <w:p w:rsidR="004A1D2F" w:rsidRDefault="004A1D2F" w:rsidP="000048F6">
      <w:pPr>
        <w:spacing w:after="0"/>
        <w:jc w:val="both"/>
        <w:rPr>
          <w:rFonts w:ascii="Times New Roman" w:hAnsi="Times New Roman" w:cs="Times New Roman"/>
          <w:bCs/>
        </w:rPr>
      </w:pPr>
    </w:p>
    <w:p w:rsidR="004A1D2F" w:rsidRPr="004A1D2F" w:rsidRDefault="004A1D2F" w:rsidP="000048F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A1D2F">
        <w:rPr>
          <w:rFonts w:ascii="Times New Roman" w:hAnsi="Times New Roman" w:cs="Times New Roman"/>
          <w:b/>
          <w:bCs/>
        </w:rPr>
        <w:t>Kivándorlás</w:t>
      </w:r>
    </w:p>
    <w:p w:rsidR="004A1D2F" w:rsidRDefault="004A1D2F" w:rsidP="000048F6">
      <w:pPr>
        <w:spacing w:after="0"/>
        <w:jc w:val="both"/>
        <w:rPr>
          <w:rFonts w:ascii="Times New Roman" w:hAnsi="Times New Roman" w:cs="Times New Roman"/>
          <w:bCs/>
        </w:rPr>
      </w:pPr>
    </w:p>
    <w:p w:rsidR="004A1D2F" w:rsidRDefault="004A1D2F" w:rsidP="004A1D2F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Pr="004A1D2F">
        <w:rPr>
          <w:rFonts w:ascii="Times New Roman" w:hAnsi="Times New Roman" w:cs="Times New Roman"/>
          <w:bCs/>
        </w:rPr>
        <w:t>Az</w:t>
      </w:r>
      <w:r>
        <w:rPr>
          <w:rFonts w:ascii="Times New Roman" w:hAnsi="Times New Roman" w:cs="Times New Roman"/>
          <w:bCs/>
        </w:rPr>
        <w:t xml:space="preserve"> Eurostat jelentéséből  kiderül, hogy az</w:t>
      </w:r>
      <w:r w:rsidRPr="004A1D2F">
        <w:rPr>
          <w:rFonts w:ascii="Times New Roman" w:hAnsi="Times New Roman" w:cs="Times New Roman"/>
          <w:bCs/>
        </w:rPr>
        <w:t xml:space="preserve"> Európai Unió munkaképes korú (20-64 év) lakosainak 3,8 százaléka élt 2017-ben egy másik, az állampolgárságától eltérő uniós tagországban, tíz évvel korábban ez az arány még csak 2,5 százalék </w:t>
      </w:r>
      <w:r>
        <w:rPr>
          <w:rFonts w:ascii="Times New Roman" w:hAnsi="Times New Roman" w:cs="Times New Roman"/>
          <w:bCs/>
        </w:rPr>
        <w:t xml:space="preserve">volt. </w:t>
      </w:r>
      <w:r w:rsidRPr="004A1D2F">
        <w:rPr>
          <w:rFonts w:ascii="Times New Roman" w:hAnsi="Times New Roman" w:cs="Times New Roman"/>
          <w:bCs/>
        </w:rPr>
        <w:t>Románia és Litvánia lakosai a leginkább mobilisak: a munkaképes korú románok majdnem egyötöde, 19,7 százaléka, a litvánoknak pedig a 15 százaléka tartózkodott tartósan más uniós tagállamban 2017-ben. A két országot Horvátország (14,0 százalék), Portugália (13,9 százalék), Lettország (12,9 százalék) és Bulgária (12,5 százalék) követte, Magyarország pedig 5,2 százalékkal a 13. helyen állt tavaly.</w:t>
      </w:r>
    </w:p>
    <w:p w:rsidR="008D594A" w:rsidRDefault="008D594A" w:rsidP="004A1D2F">
      <w:pPr>
        <w:spacing w:after="0"/>
        <w:jc w:val="both"/>
        <w:rPr>
          <w:rFonts w:ascii="Times New Roman" w:hAnsi="Times New Roman" w:cs="Times New Roman"/>
          <w:bCs/>
        </w:rPr>
      </w:pPr>
    </w:p>
    <w:p w:rsidR="008D594A" w:rsidRPr="000048F6" w:rsidRDefault="008D594A" w:rsidP="004A1D2F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Ezek a számok viszont nem pontosak, miután </w:t>
      </w:r>
      <w:r w:rsidRPr="008D594A">
        <w:rPr>
          <w:rFonts w:ascii="Times New Roman" w:hAnsi="Times New Roman" w:cs="Times New Roman"/>
          <w:bCs/>
        </w:rPr>
        <w:t>nincs egységes európai adatbázis a kivándoroltak számáról, eltérő az adatgyűjtés módszertana</w:t>
      </w:r>
      <w:r w:rsidR="0025777F">
        <w:rPr>
          <w:rFonts w:ascii="Times New Roman" w:hAnsi="Times New Roman" w:cs="Times New Roman"/>
          <w:bCs/>
        </w:rPr>
        <w:t xml:space="preserve">, illetve </w:t>
      </w:r>
      <w:r w:rsidR="0025777F" w:rsidRPr="0025777F">
        <w:rPr>
          <w:rFonts w:ascii="Times New Roman" w:hAnsi="Times New Roman" w:cs="Times New Roman"/>
          <w:bCs/>
        </w:rPr>
        <w:t>az ingázókat nehéz statisztikailag elérni.</w:t>
      </w:r>
      <w:r w:rsidR="0025777F">
        <w:rPr>
          <w:rFonts w:ascii="Times New Roman" w:hAnsi="Times New Roman" w:cs="Times New Roman"/>
          <w:bCs/>
        </w:rPr>
        <w:t xml:space="preserve"> Az elöregedő társadalom miatt azonban nemzetgazdasági érdek a hazai munkavállalás népszerűségét növelni, ami</w:t>
      </w:r>
      <w:r w:rsidR="00FD7CD4">
        <w:rPr>
          <w:rFonts w:ascii="Times New Roman" w:hAnsi="Times New Roman" w:cs="Times New Roman"/>
          <w:bCs/>
        </w:rPr>
        <w:t>t elsősorban a fizetések további emelésével lehet elérni.</w:t>
      </w:r>
    </w:p>
    <w:p w:rsidR="007F4A6F" w:rsidRPr="006E08EB" w:rsidRDefault="007F4A6F" w:rsidP="007F4A6F">
      <w:pPr>
        <w:spacing w:line="360" w:lineRule="auto"/>
        <w:jc w:val="both"/>
        <w:rPr>
          <w:bCs/>
          <w:sz w:val="20"/>
          <w:szCs w:val="20"/>
        </w:rPr>
      </w:pPr>
    </w:p>
    <w:p w:rsidR="007F4A6F" w:rsidRPr="00F0524B" w:rsidRDefault="007F4A6F" w:rsidP="005A1D9B">
      <w:pPr>
        <w:pStyle w:val="Cmsor1"/>
        <w:numPr>
          <w:ilvl w:val="0"/>
          <w:numId w:val="3"/>
        </w:numPr>
        <w:rPr>
          <w:sz w:val="24"/>
        </w:rPr>
      </w:pPr>
      <w:r w:rsidRPr="00F0524B">
        <w:rPr>
          <w:sz w:val="24"/>
        </w:rPr>
        <w:t>Következtetések, javaslatok</w:t>
      </w:r>
    </w:p>
    <w:p w:rsidR="007F4A6F" w:rsidRPr="000048F6" w:rsidRDefault="007F4A6F" w:rsidP="000048F6">
      <w:pPr>
        <w:pStyle w:val="Listaszerbekezds"/>
        <w:spacing w:line="276" w:lineRule="auto"/>
        <w:jc w:val="both"/>
        <w:rPr>
          <w:sz w:val="22"/>
          <w:szCs w:val="22"/>
        </w:rPr>
      </w:pPr>
    </w:p>
    <w:p w:rsidR="007F4A6F" w:rsidRDefault="008D594A" w:rsidP="000048F6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7F4A6F" w:rsidRPr="000048F6">
        <w:rPr>
          <w:rFonts w:ascii="Times New Roman" w:hAnsi="Times New Roman" w:cs="Times New Roman"/>
          <w:bCs/>
        </w:rPr>
        <w:t xml:space="preserve">A magyar gazdaság 2017-ben fordulóponthoz érkezett. A makrogazdasági alapok megteremtése egészséges szerkezetű, átfogó gazdasági növekedéssel párosult. Az elmúlt öt év elegendő bizonyítékkal szolgál arra, hogy a fenntarthatóság alapjait is sikerült lerakni, de a továbblépéshez fordulatra van szükség. Összességében megállapítható, hogy a 2010-től kezdődő fiskális és a 2013 utáni monetáris politikai reformok egyidejűleg teremtettek makro-pénzügyi és gazdasági stabilitást és megalapozták a szükségszerű versenyképességi fordulat lehetőségét. </w:t>
      </w:r>
    </w:p>
    <w:p w:rsidR="003215BC" w:rsidRPr="000048F6" w:rsidRDefault="003215BC" w:rsidP="000048F6">
      <w:pPr>
        <w:spacing w:after="0"/>
        <w:jc w:val="both"/>
        <w:rPr>
          <w:rFonts w:ascii="Times New Roman" w:hAnsi="Times New Roman" w:cs="Times New Roman"/>
          <w:bCs/>
        </w:rPr>
      </w:pPr>
    </w:p>
    <w:p w:rsidR="007F4A6F" w:rsidRDefault="007F4A6F" w:rsidP="000048F6">
      <w:pPr>
        <w:spacing w:after="0"/>
        <w:jc w:val="both"/>
        <w:rPr>
          <w:rFonts w:ascii="Times New Roman" w:hAnsi="Times New Roman" w:cs="Times New Roman"/>
          <w:bCs/>
        </w:rPr>
      </w:pPr>
      <w:r w:rsidRPr="000048F6">
        <w:rPr>
          <w:rFonts w:ascii="Times New Roman" w:hAnsi="Times New Roman" w:cs="Times New Roman"/>
          <w:bCs/>
        </w:rPr>
        <w:t xml:space="preserve">A magyar gazdaság versenyképessége a makrogazdasági mutatókat tekintve ugyan jelentősen javult, ugyanakkor </w:t>
      </w:r>
      <w:r w:rsidRPr="00522F88">
        <w:rPr>
          <w:rFonts w:ascii="Times New Roman" w:hAnsi="Times New Roman" w:cs="Times New Roman"/>
          <w:b/>
          <w:bCs/>
        </w:rPr>
        <w:t>a következő években a munkatermelékenység javítására, a hatékonyság növelésére kell a súlypontot helyezni</w:t>
      </w:r>
      <w:r w:rsidRPr="000048F6">
        <w:rPr>
          <w:rFonts w:ascii="Times New Roman" w:hAnsi="Times New Roman" w:cs="Times New Roman"/>
          <w:bCs/>
        </w:rPr>
        <w:t>. Ezen a terén a 2008-as válság előtti s</w:t>
      </w:r>
      <w:r w:rsidR="000E07A8">
        <w:rPr>
          <w:rFonts w:ascii="Times New Roman" w:hAnsi="Times New Roman" w:cs="Times New Roman"/>
          <w:bCs/>
        </w:rPr>
        <w:t>zint közelében vagyunk és egyben</w:t>
      </w:r>
      <w:r w:rsidRPr="000048F6">
        <w:rPr>
          <w:rFonts w:ascii="Times New Roman" w:hAnsi="Times New Roman" w:cs="Times New Roman"/>
          <w:bCs/>
        </w:rPr>
        <w:t xml:space="preserve"> elmaradunk az unió és a régiónk átlagától. Ez a záloga a bér</w:t>
      </w:r>
      <w:r w:rsidR="000E07A8">
        <w:rPr>
          <w:rFonts w:ascii="Times New Roman" w:hAnsi="Times New Roman" w:cs="Times New Roman"/>
          <w:bCs/>
        </w:rPr>
        <w:t>ek hosszú távú felzárkózásának.</w:t>
      </w:r>
      <w:r w:rsidRPr="000048F6">
        <w:rPr>
          <w:rFonts w:ascii="Times New Roman" w:hAnsi="Times New Roman" w:cs="Times New Roman"/>
          <w:bCs/>
        </w:rPr>
        <w:t xml:space="preserve"> A versenyszférában dolgozók 70 százalékát a kis- és középvállalkozások foglalkoztatják, ezért kiemelten fontos, hogy a kkv-k termelékenysége nőjön, ehhez alapvető és általános szemléletváltásra van szükség. </w:t>
      </w:r>
    </w:p>
    <w:p w:rsidR="00630B05" w:rsidRPr="000048F6" w:rsidRDefault="00630B05" w:rsidP="000048F6">
      <w:pPr>
        <w:spacing w:after="0"/>
        <w:jc w:val="both"/>
        <w:rPr>
          <w:rFonts w:ascii="Times New Roman" w:hAnsi="Times New Roman" w:cs="Times New Roman"/>
          <w:bCs/>
        </w:rPr>
      </w:pPr>
    </w:p>
    <w:p w:rsidR="007F4A6F" w:rsidRDefault="008B7363" w:rsidP="000048F6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7F4A6F" w:rsidRPr="000048F6">
        <w:rPr>
          <w:rFonts w:ascii="Times New Roman" w:hAnsi="Times New Roman" w:cs="Times New Roman"/>
          <w:bCs/>
        </w:rPr>
        <w:t>A hatékonyság javítása a beruházások és az innováció további növelésén, a digitalizáció térnyerésének támogatásán, valamint a munkaerőpiac folyamatos fejlesztésén és a bérek folytatódó felzárkóztatásán keresztül valósítható meg. A termelés ma már egyik legnagyobb korlátját jelentő munkaerőhiány oldása a munkaerő területi mobilizálásával</w:t>
      </w:r>
      <w:r w:rsidR="007E25A9">
        <w:rPr>
          <w:rFonts w:ascii="Times New Roman" w:hAnsi="Times New Roman" w:cs="Times New Roman"/>
          <w:bCs/>
        </w:rPr>
        <w:t xml:space="preserve"> – ezt korlátozza a cafeteria rendszer hibás átalakítása - </w:t>
      </w:r>
      <w:r w:rsidR="007F4A6F" w:rsidRPr="000048F6">
        <w:rPr>
          <w:rFonts w:ascii="Times New Roman" w:hAnsi="Times New Roman" w:cs="Times New Roman"/>
          <w:bCs/>
        </w:rPr>
        <w:t>, a szaktudás további fejlesztésével, illetve a magasabb hozzáadott értékű tevékenységek integrálásával lenne támogatható</w:t>
      </w:r>
      <w:r w:rsidR="007F4A6F" w:rsidRPr="008B7363">
        <w:rPr>
          <w:rFonts w:ascii="Times New Roman" w:hAnsi="Times New Roman" w:cs="Times New Roman"/>
          <w:b/>
          <w:bCs/>
        </w:rPr>
        <w:t xml:space="preserve">. Cél, hogy Magyarország az olcsó, alacsonyabb képzettséget igénylő termelésről fokozatosan átálljon a nagyobb hozzáadott értéket előállító tudás- és innovációvezérelt gazdasági modellre, amelyben a versenyelőny forrását már nem az alacsony bérköltség, hanem a kvalifikált, innovatív </w:t>
      </w:r>
      <w:r w:rsidR="000E07A8" w:rsidRPr="008B7363">
        <w:rPr>
          <w:rFonts w:ascii="Times New Roman" w:hAnsi="Times New Roman" w:cs="Times New Roman"/>
          <w:b/>
          <w:bCs/>
        </w:rPr>
        <w:t xml:space="preserve">minőségi </w:t>
      </w:r>
      <w:r w:rsidR="007F4A6F" w:rsidRPr="008B7363">
        <w:rPr>
          <w:rFonts w:ascii="Times New Roman" w:hAnsi="Times New Roman" w:cs="Times New Roman"/>
          <w:b/>
          <w:bCs/>
        </w:rPr>
        <w:t>munkaerő biztosítja.</w:t>
      </w:r>
      <w:r w:rsidR="007F4A6F" w:rsidRPr="000048F6">
        <w:rPr>
          <w:rFonts w:ascii="Times New Roman" w:hAnsi="Times New Roman" w:cs="Times New Roman"/>
          <w:bCs/>
        </w:rPr>
        <w:t xml:space="preserve"> A vállalatok versenyképessége szempontjából pedig kiemelten fontos a megkezdett járulékcsökkentések folytatása, sőt a tervezetthez képest a költségvetés teherbíró képességéhez mérten akár gyorsítani is lehetne az ütemen. </w:t>
      </w:r>
    </w:p>
    <w:p w:rsidR="00630B05" w:rsidRDefault="00630B05" w:rsidP="000048F6">
      <w:pPr>
        <w:spacing w:after="0"/>
        <w:jc w:val="both"/>
        <w:rPr>
          <w:rFonts w:ascii="Times New Roman" w:hAnsi="Times New Roman" w:cs="Times New Roman"/>
          <w:bCs/>
        </w:rPr>
      </w:pPr>
    </w:p>
    <w:p w:rsidR="00630B05" w:rsidRDefault="00630B05" w:rsidP="000048F6">
      <w:pPr>
        <w:spacing w:after="0"/>
        <w:jc w:val="both"/>
        <w:rPr>
          <w:rFonts w:ascii="Times New Roman" w:hAnsi="Times New Roman" w:cs="Times New Roman"/>
          <w:bCs/>
        </w:rPr>
      </w:pPr>
      <w:r w:rsidRPr="007E25A9">
        <w:rPr>
          <w:rFonts w:ascii="Times New Roman" w:hAnsi="Times New Roman" w:cs="Times New Roman"/>
          <w:b/>
          <w:bCs/>
        </w:rPr>
        <w:t>A bérek további növelése komplex gazdaságpolitikai feladat</w:t>
      </w:r>
      <w:r>
        <w:rPr>
          <w:rFonts w:ascii="Times New Roman" w:hAnsi="Times New Roman" w:cs="Times New Roman"/>
          <w:bCs/>
        </w:rPr>
        <w:t>.</w:t>
      </w:r>
      <w:r w:rsidR="008D3231">
        <w:rPr>
          <w:rFonts w:ascii="Times New Roman" w:hAnsi="Times New Roman" w:cs="Times New Roman"/>
          <w:bCs/>
        </w:rPr>
        <w:t xml:space="preserve"> A költségvetés jelenlegi állapota, illetve a nemzetgazdaságban, a nemzetközi színtéren végbemenő folyamatok alapján a minimálbér, illetve a garantált bérminimum további jelentős emelésére van szükség versenyképességünk fokozása érdekében.</w:t>
      </w:r>
      <w:r w:rsidR="00796689">
        <w:rPr>
          <w:rFonts w:ascii="Times New Roman" w:hAnsi="Times New Roman" w:cs="Times New Roman"/>
          <w:bCs/>
        </w:rPr>
        <w:t xml:space="preserve"> </w:t>
      </w:r>
      <w:r w:rsidR="00796689" w:rsidRPr="007E25A9">
        <w:rPr>
          <w:rFonts w:ascii="Times New Roman" w:hAnsi="Times New Roman" w:cs="Times New Roman"/>
          <w:b/>
          <w:bCs/>
        </w:rPr>
        <w:t>A bérrobbanás nem hungarikum, hanem globális jelenség.</w:t>
      </w:r>
      <w:r w:rsidR="00796689">
        <w:rPr>
          <w:rFonts w:ascii="Times New Roman" w:hAnsi="Times New Roman" w:cs="Times New Roman"/>
          <w:bCs/>
        </w:rPr>
        <w:t xml:space="preserve"> Értelemszerűen az egyes országok fejlettségi szintje ennek mértékét érdemben befolyásolja. A velünk közel </w:t>
      </w:r>
      <w:r w:rsidR="000E07A8">
        <w:rPr>
          <w:rFonts w:ascii="Times New Roman" w:hAnsi="Times New Roman" w:cs="Times New Roman"/>
          <w:bCs/>
        </w:rPr>
        <w:t>azonos</w:t>
      </w:r>
      <w:r w:rsidR="00796689">
        <w:rPr>
          <w:rFonts w:ascii="Times New Roman" w:hAnsi="Times New Roman" w:cs="Times New Roman"/>
          <w:bCs/>
        </w:rPr>
        <w:t xml:space="preserve"> fejlettség</w:t>
      </w:r>
      <w:r w:rsidR="000E07A8">
        <w:rPr>
          <w:rFonts w:ascii="Times New Roman" w:hAnsi="Times New Roman" w:cs="Times New Roman"/>
          <w:bCs/>
        </w:rPr>
        <w:t>ű</w:t>
      </w:r>
      <w:r w:rsidR="00796689">
        <w:rPr>
          <w:rFonts w:ascii="Times New Roman" w:hAnsi="Times New Roman" w:cs="Times New Roman"/>
          <w:bCs/>
        </w:rPr>
        <w:t xml:space="preserve"> régiós országokban is hasonló folyamatok zajlanak. Jelen elemzés egyértelműen bizonyítja a bérfejlesztések sikerét és szükségességét. </w:t>
      </w:r>
    </w:p>
    <w:p w:rsidR="000E07A8" w:rsidRDefault="000E07A8" w:rsidP="000048F6">
      <w:pPr>
        <w:spacing w:after="0"/>
        <w:jc w:val="both"/>
        <w:rPr>
          <w:rFonts w:ascii="Times New Roman" w:hAnsi="Times New Roman" w:cs="Times New Roman"/>
          <w:bCs/>
        </w:rPr>
      </w:pPr>
    </w:p>
    <w:p w:rsidR="0051276D" w:rsidRDefault="0051276D" w:rsidP="000048F6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gazdaság minden szereplője igényli a gazdaságpolitika kiszámíthatóságát. Az évekre előre </w:t>
      </w:r>
      <w:r w:rsidR="001E5540">
        <w:rPr>
          <w:rFonts w:ascii="Times New Roman" w:hAnsi="Times New Roman" w:cs="Times New Roman"/>
          <w:bCs/>
        </w:rPr>
        <w:t xml:space="preserve">konkrétan </w:t>
      </w:r>
      <w:r>
        <w:rPr>
          <w:rFonts w:ascii="Times New Roman" w:hAnsi="Times New Roman" w:cs="Times New Roman"/>
          <w:bCs/>
        </w:rPr>
        <w:t>meghatározott mértékű minimálbé</w:t>
      </w:r>
      <w:r w:rsidR="00A54561">
        <w:rPr>
          <w:rFonts w:ascii="Times New Roman" w:hAnsi="Times New Roman" w:cs="Times New Roman"/>
          <w:bCs/>
        </w:rPr>
        <w:t>r és bérminimum emelések támogatják</w:t>
      </w:r>
      <w:r w:rsidR="001E5540">
        <w:rPr>
          <w:rFonts w:ascii="Times New Roman" w:hAnsi="Times New Roman" w:cs="Times New Roman"/>
          <w:bCs/>
        </w:rPr>
        <w:t xml:space="preserve"> a </w:t>
      </w:r>
      <w:r w:rsidR="000E07A8">
        <w:rPr>
          <w:rFonts w:ascii="Times New Roman" w:hAnsi="Times New Roman" w:cs="Times New Roman"/>
          <w:bCs/>
        </w:rPr>
        <w:t>vállalti szektor</w:t>
      </w:r>
      <w:r w:rsidR="00195B60">
        <w:rPr>
          <w:rFonts w:ascii="Times New Roman" w:hAnsi="Times New Roman" w:cs="Times New Roman"/>
          <w:bCs/>
        </w:rPr>
        <w:t xml:space="preserve"> működési környezetének optimalizálását, segítik a </w:t>
      </w:r>
      <w:r w:rsidR="00A54561">
        <w:rPr>
          <w:rFonts w:ascii="Times New Roman" w:hAnsi="Times New Roman" w:cs="Times New Roman"/>
          <w:bCs/>
        </w:rPr>
        <w:t>hosszú távú stratégia terveik megvalósíthatóságá</w:t>
      </w:r>
      <w:r w:rsidR="00CD556D">
        <w:rPr>
          <w:rFonts w:ascii="Times New Roman" w:hAnsi="Times New Roman" w:cs="Times New Roman"/>
          <w:bCs/>
        </w:rPr>
        <w:t>t. Egy alapvetően kiszámíthatóbb üzleti környezetben tudnak élni, ami</w:t>
      </w:r>
      <w:r w:rsidR="00CC6E55">
        <w:rPr>
          <w:rFonts w:ascii="Times New Roman" w:hAnsi="Times New Roman" w:cs="Times New Roman"/>
          <w:bCs/>
        </w:rPr>
        <w:t xml:space="preserve"> </w:t>
      </w:r>
      <w:r w:rsidR="00CD556D">
        <w:rPr>
          <w:rFonts w:ascii="Times New Roman" w:hAnsi="Times New Roman" w:cs="Times New Roman"/>
          <w:bCs/>
        </w:rPr>
        <w:t xml:space="preserve">egyben </w:t>
      </w:r>
      <w:r w:rsidR="00CC6E55">
        <w:rPr>
          <w:rFonts w:ascii="Times New Roman" w:hAnsi="Times New Roman" w:cs="Times New Roman"/>
          <w:bCs/>
        </w:rPr>
        <w:t>j</w:t>
      </w:r>
      <w:r w:rsidR="00CD556D">
        <w:rPr>
          <w:rFonts w:ascii="Times New Roman" w:hAnsi="Times New Roman" w:cs="Times New Roman"/>
          <w:bCs/>
        </w:rPr>
        <w:t>avítja</w:t>
      </w:r>
      <w:r w:rsidR="00CC6E55">
        <w:rPr>
          <w:rFonts w:ascii="Times New Roman" w:hAnsi="Times New Roman" w:cs="Times New Roman"/>
          <w:bCs/>
        </w:rPr>
        <w:t xml:space="preserve"> az ország versenyképességét</w:t>
      </w:r>
      <w:r w:rsidR="00CD556D">
        <w:rPr>
          <w:rFonts w:ascii="Times New Roman" w:hAnsi="Times New Roman" w:cs="Times New Roman"/>
          <w:bCs/>
        </w:rPr>
        <w:t xml:space="preserve"> is. </w:t>
      </w:r>
      <w:r w:rsidR="00CC6E55">
        <w:rPr>
          <w:rFonts w:ascii="Times New Roman" w:hAnsi="Times New Roman" w:cs="Times New Roman"/>
          <w:bCs/>
        </w:rPr>
        <w:t xml:space="preserve">Az elemzés korábbi fejezeteiben bemutatott nemzetgazdasági folyamatok azt támasztják alá, hogy a </w:t>
      </w:r>
      <w:r w:rsidR="000E07A8">
        <w:rPr>
          <w:rFonts w:ascii="Times New Roman" w:hAnsi="Times New Roman" w:cs="Times New Roman"/>
          <w:bCs/>
        </w:rPr>
        <w:t xml:space="preserve">szükség van a további bérfejlesztésekre.  </w:t>
      </w:r>
      <w:r w:rsidR="000E07A8" w:rsidRPr="008B7363">
        <w:rPr>
          <w:rFonts w:ascii="Times New Roman" w:hAnsi="Times New Roman" w:cs="Times New Roman"/>
          <w:b/>
          <w:bCs/>
        </w:rPr>
        <w:t xml:space="preserve">A költségvetés és a vállalati szektor tűrőképességét figyelembe véve javaslatunk szerint 2019-ben legalább 13, illetve </w:t>
      </w:r>
      <w:r w:rsidR="00CC6E55" w:rsidRPr="008B7363">
        <w:rPr>
          <w:rFonts w:ascii="Times New Roman" w:hAnsi="Times New Roman" w:cs="Times New Roman"/>
          <w:b/>
          <w:bCs/>
        </w:rPr>
        <w:t>15%</w:t>
      </w:r>
      <w:r w:rsidR="000E07A8" w:rsidRPr="008B7363">
        <w:rPr>
          <w:rFonts w:ascii="Times New Roman" w:hAnsi="Times New Roman" w:cs="Times New Roman"/>
          <w:b/>
          <w:bCs/>
        </w:rPr>
        <w:t>-kal emelni. A</w:t>
      </w:r>
      <w:r w:rsidR="00714D47" w:rsidRPr="008B7363">
        <w:rPr>
          <w:rFonts w:ascii="Times New Roman" w:hAnsi="Times New Roman" w:cs="Times New Roman"/>
          <w:b/>
          <w:bCs/>
        </w:rPr>
        <w:t xml:space="preserve"> </w:t>
      </w:r>
      <w:r w:rsidR="000E07A8" w:rsidRPr="008B7363">
        <w:rPr>
          <w:rFonts w:ascii="Times New Roman" w:hAnsi="Times New Roman" w:cs="Times New Roman"/>
          <w:b/>
          <w:bCs/>
        </w:rPr>
        <w:t xml:space="preserve">minimálbér ezzel </w:t>
      </w:r>
      <w:r w:rsidR="00D235D9" w:rsidRPr="008B7363">
        <w:rPr>
          <w:rFonts w:ascii="Times New Roman" w:hAnsi="Times New Roman" w:cs="Times New Roman"/>
          <w:b/>
          <w:bCs/>
        </w:rPr>
        <w:t xml:space="preserve">bruttó </w:t>
      </w:r>
      <w:r w:rsidR="000E07A8" w:rsidRPr="008B7363">
        <w:rPr>
          <w:rFonts w:ascii="Times New Roman" w:hAnsi="Times New Roman" w:cs="Times New Roman"/>
          <w:b/>
          <w:bCs/>
        </w:rPr>
        <w:t xml:space="preserve">156 000 forintra, a garantált bérminimum pedig </w:t>
      </w:r>
      <w:r w:rsidR="00D235D9" w:rsidRPr="008B7363">
        <w:rPr>
          <w:rFonts w:ascii="Times New Roman" w:hAnsi="Times New Roman" w:cs="Times New Roman"/>
          <w:b/>
          <w:bCs/>
        </w:rPr>
        <w:t>208 000 forintra emelkedne.</w:t>
      </w:r>
      <w:r w:rsidR="000E07A8">
        <w:rPr>
          <w:rFonts w:ascii="Times New Roman" w:hAnsi="Times New Roman" w:cs="Times New Roman"/>
          <w:bCs/>
        </w:rPr>
        <w:t xml:space="preserve"> </w:t>
      </w:r>
    </w:p>
    <w:p w:rsidR="008B5697" w:rsidRDefault="008B5697" w:rsidP="000048F6">
      <w:pPr>
        <w:spacing w:after="0"/>
        <w:jc w:val="both"/>
        <w:rPr>
          <w:rFonts w:ascii="Times New Roman" w:hAnsi="Times New Roman" w:cs="Times New Roman"/>
          <w:bCs/>
        </w:rPr>
      </w:pPr>
    </w:p>
    <w:p w:rsidR="00EF6666" w:rsidRDefault="008B5697" w:rsidP="000048F6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gazdaságpolitika irányít</w:t>
      </w:r>
      <w:r w:rsidR="00B33716">
        <w:rPr>
          <w:rFonts w:ascii="Times New Roman" w:hAnsi="Times New Roman" w:cs="Times New Roman"/>
          <w:bCs/>
        </w:rPr>
        <w:t>ói</w:t>
      </w:r>
      <w:r>
        <w:rPr>
          <w:rFonts w:ascii="Times New Roman" w:hAnsi="Times New Roman" w:cs="Times New Roman"/>
          <w:bCs/>
        </w:rPr>
        <w:t xml:space="preserve"> szempontjából továbbra is megfontolandó lenne a</w:t>
      </w:r>
      <w:r w:rsidR="007B4008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8B7363">
        <w:rPr>
          <w:rFonts w:ascii="Times New Roman" w:hAnsi="Times New Roman" w:cs="Times New Roman"/>
          <w:b/>
          <w:bCs/>
        </w:rPr>
        <w:t>SZJA kulcs ütemezett csökkentése</w:t>
      </w:r>
      <w:r>
        <w:rPr>
          <w:rFonts w:ascii="Times New Roman" w:hAnsi="Times New Roman" w:cs="Times New Roman"/>
          <w:bCs/>
        </w:rPr>
        <w:t xml:space="preserve">, </w:t>
      </w:r>
      <w:r w:rsidR="00B24D2E">
        <w:rPr>
          <w:rFonts w:ascii="Times New Roman" w:hAnsi="Times New Roman" w:cs="Times New Roman"/>
          <w:bCs/>
        </w:rPr>
        <w:t xml:space="preserve">mint ahogyan azt már korábban többször is </w:t>
      </w:r>
      <w:r w:rsidR="00EF6666">
        <w:rPr>
          <w:rFonts w:ascii="Times New Roman" w:hAnsi="Times New Roman" w:cs="Times New Roman"/>
          <w:bCs/>
        </w:rPr>
        <w:t xml:space="preserve">előirányozták. </w:t>
      </w:r>
      <w:r w:rsidR="00CD556D">
        <w:rPr>
          <w:rFonts w:ascii="Times New Roman" w:hAnsi="Times New Roman" w:cs="Times New Roman"/>
          <w:sz w:val="24"/>
          <w:szCs w:val="24"/>
        </w:rPr>
        <w:t>Ez</w:t>
      </w:r>
      <w:r w:rsidR="00CD556D" w:rsidRPr="0060781A">
        <w:rPr>
          <w:rFonts w:ascii="Times New Roman" w:hAnsi="Times New Roman" w:cs="Times New Roman"/>
          <w:sz w:val="24"/>
          <w:szCs w:val="24"/>
        </w:rPr>
        <w:t xml:space="preserve"> </w:t>
      </w:r>
      <w:r w:rsidR="00CD556D">
        <w:rPr>
          <w:rFonts w:ascii="Times New Roman" w:hAnsi="Times New Roman" w:cs="Times New Roman"/>
          <w:sz w:val="24"/>
          <w:szCs w:val="24"/>
        </w:rPr>
        <w:t xml:space="preserve">a lakossági fogyasztás stimulálásán keresztül </w:t>
      </w:r>
      <w:r w:rsidR="00CD556D" w:rsidRPr="0060781A">
        <w:rPr>
          <w:rFonts w:ascii="Times New Roman" w:hAnsi="Times New Roman" w:cs="Times New Roman"/>
          <w:sz w:val="24"/>
          <w:szCs w:val="24"/>
        </w:rPr>
        <w:t xml:space="preserve">további </w:t>
      </w:r>
      <w:r w:rsidR="00CD556D">
        <w:rPr>
          <w:rFonts w:ascii="Times New Roman" w:hAnsi="Times New Roman" w:cs="Times New Roman"/>
          <w:sz w:val="24"/>
          <w:szCs w:val="24"/>
        </w:rPr>
        <w:t>lökést adhatna a lassulás előtt álló gazdasági növekedésnek, miután</w:t>
      </w:r>
      <w:r w:rsidR="00CD556D" w:rsidRPr="0060781A">
        <w:rPr>
          <w:rFonts w:ascii="Times New Roman" w:hAnsi="Times New Roman" w:cs="Times New Roman"/>
          <w:sz w:val="24"/>
          <w:szCs w:val="24"/>
        </w:rPr>
        <w:t xml:space="preserve"> </w:t>
      </w:r>
      <w:r w:rsidR="00CD556D" w:rsidRPr="008B7363">
        <w:rPr>
          <w:rFonts w:ascii="Times New Roman" w:hAnsi="Times New Roman" w:cs="Times New Roman"/>
          <w:b/>
          <w:sz w:val="24"/>
          <w:szCs w:val="24"/>
        </w:rPr>
        <w:t>1 százalékpontos csökkentés következtében összességében több mint 130 milliárd forint marad a háztartásoknál.</w:t>
      </w:r>
    </w:p>
    <w:p w:rsidR="00EF6666" w:rsidRDefault="00EF6666" w:rsidP="000048F6">
      <w:pPr>
        <w:spacing w:after="0"/>
        <w:jc w:val="both"/>
        <w:rPr>
          <w:rFonts w:ascii="Times New Roman" w:hAnsi="Times New Roman" w:cs="Times New Roman"/>
          <w:bCs/>
        </w:rPr>
      </w:pPr>
    </w:p>
    <w:p w:rsidR="008B5697" w:rsidRDefault="00750606" w:rsidP="000048F6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</w:t>
      </w:r>
      <w:r w:rsidR="00E909E5">
        <w:rPr>
          <w:rFonts w:ascii="Times New Roman" w:hAnsi="Times New Roman" w:cs="Times New Roman"/>
          <w:bCs/>
        </w:rPr>
        <w:t xml:space="preserve">Az általános forgalmi adó kulcsa </w:t>
      </w:r>
      <w:r w:rsidR="00A10788">
        <w:rPr>
          <w:rFonts w:ascii="Times New Roman" w:hAnsi="Times New Roman" w:cs="Times New Roman"/>
          <w:bCs/>
        </w:rPr>
        <w:t xml:space="preserve">az EU-n belül </w:t>
      </w:r>
      <w:r w:rsidR="00E909E5">
        <w:rPr>
          <w:rFonts w:ascii="Times New Roman" w:hAnsi="Times New Roman" w:cs="Times New Roman"/>
          <w:bCs/>
        </w:rPr>
        <w:t>Magyarországon a legmagasabb</w:t>
      </w:r>
      <w:r w:rsidR="00A10788">
        <w:rPr>
          <w:rFonts w:ascii="Times New Roman" w:hAnsi="Times New Roman" w:cs="Times New Roman"/>
          <w:bCs/>
        </w:rPr>
        <w:t xml:space="preserve">. A </w:t>
      </w:r>
      <w:r w:rsidR="00A10788" w:rsidRPr="008B7363">
        <w:rPr>
          <w:rFonts w:ascii="Times New Roman" w:hAnsi="Times New Roman" w:cs="Times New Roman"/>
          <w:b/>
          <w:bCs/>
        </w:rPr>
        <w:t xml:space="preserve">27%-os kulcs fokozatos csökkentése </w:t>
      </w:r>
      <w:r w:rsidR="004703A6" w:rsidRPr="008B7363">
        <w:rPr>
          <w:rFonts w:ascii="Times New Roman" w:hAnsi="Times New Roman" w:cs="Times New Roman"/>
          <w:b/>
          <w:bCs/>
        </w:rPr>
        <w:t>emelhetné</w:t>
      </w:r>
      <w:r w:rsidR="00D360BF" w:rsidRPr="008B7363">
        <w:rPr>
          <w:rFonts w:ascii="Times New Roman" w:hAnsi="Times New Roman" w:cs="Times New Roman"/>
          <w:b/>
          <w:bCs/>
        </w:rPr>
        <w:t xml:space="preserve"> a bérek vásár</w:t>
      </w:r>
      <w:r w:rsidR="00B33716" w:rsidRPr="008B7363">
        <w:rPr>
          <w:rFonts w:ascii="Times New Roman" w:hAnsi="Times New Roman" w:cs="Times New Roman"/>
          <w:b/>
          <w:bCs/>
        </w:rPr>
        <w:t>ló</w:t>
      </w:r>
      <w:r w:rsidR="00D360BF" w:rsidRPr="008B7363">
        <w:rPr>
          <w:rFonts w:ascii="Times New Roman" w:hAnsi="Times New Roman" w:cs="Times New Roman"/>
          <w:b/>
          <w:bCs/>
        </w:rPr>
        <w:t>erejét, javíthatná a vállalatok jövedelmezőségét</w:t>
      </w:r>
      <w:r w:rsidR="00B33716" w:rsidRPr="008B7363">
        <w:rPr>
          <w:rFonts w:ascii="Times New Roman" w:hAnsi="Times New Roman" w:cs="Times New Roman"/>
          <w:b/>
          <w:bCs/>
        </w:rPr>
        <w:t>.</w:t>
      </w:r>
      <w:r w:rsidR="00D360BF">
        <w:rPr>
          <w:rFonts w:ascii="Times New Roman" w:hAnsi="Times New Roman" w:cs="Times New Roman"/>
          <w:bCs/>
        </w:rPr>
        <w:t xml:space="preserve"> </w:t>
      </w:r>
      <w:r w:rsidR="00B33716">
        <w:rPr>
          <w:rFonts w:ascii="Times New Roman" w:hAnsi="Times New Roman" w:cs="Times New Roman"/>
          <w:bCs/>
        </w:rPr>
        <w:t>A</w:t>
      </w:r>
      <w:r w:rsidR="00D360BF">
        <w:rPr>
          <w:rFonts w:ascii="Times New Roman" w:hAnsi="Times New Roman" w:cs="Times New Roman"/>
          <w:bCs/>
        </w:rPr>
        <w:t xml:space="preserve"> gazdaság fehéredésén</w:t>
      </w:r>
      <w:r w:rsidR="007B4008">
        <w:rPr>
          <w:rFonts w:ascii="Times New Roman" w:hAnsi="Times New Roman" w:cs="Times New Roman"/>
          <w:bCs/>
        </w:rPr>
        <w:t>,</w:t>
      </w:r>
      <w:r w:rsidR="00B33716">
        <w:rPr>
          <w:rFonts w:ascii="Times New Roman" w:hAnsi="Times New Roman" w:cs="Times New Roman"/>
          <w:bCs/>
        </w:rPr>
        <w:t xml:space="preserve"> valamint</w:t>
      </w:r>
      <w:r w:rsidR="00D360BF">
        <w:rPr>
          <w:rFonts w:ascii="Times New Roman" w:hAnsi="Times New Roman" w:cs="Times New Roman"/>
          <w:bCs/>
        </w:rPr>
        <w:t xml:space="preserve"> </w:t>
      </w:r>
      <w:r w:rsidR="007B4008">
        <w:rPr>
          <w:rFonts w:ascii="Times New Roman" w:hAnsi="Times New Roman" w:cs="Times New Roman"/>
          <w:bCs/>
        </w:rPr>
        <w:t xml:space="preserve">a </w:t>
      </w:r>
      <w:r w:rsidR="00D360BF">
        <w:rPr>
          <w:rFonts w:ascii="Times New Roman" w:hAnsi="Times New Roman" w:cs="Times New Roman"/>
          <w:bCs/>
        </w:rPr>
        <w:t>fogyasztás</w:t>
      </w:r>
      <w:r w:rsidR="00B33716">
        <w:rPr>
          <w:rFonts w:ascii="Times New Roman" w:hAnsi="Times New Roman" w:cs="Times New Roman"/>
          <w:bCs/>
        </w:rPr>
        <w:t xml:space="preserve"> növekedésén keresztül pedig a költségvetésnek a jelenleginél </w:t>
      </w:r>
      <w:r w:rsidR="007B4008">
        <w:rPr>
          <w:rFonts w:ascii="Times New Roman" w:hAnsi="Times New Roman" w:cs="Times New Roman"/>
          <w:bCs/>
        </w:rPr>
        <w:t xml:space="preserve">érdemben </w:t>
      </w:r>
      <w:r w:rsidR="00B33716">
        <w:rPr>
          <w:rFonts w:ascii="Times New Roman" w:hAnsi="Times New Roman" w:cs="Times New Roman"/>
          <w:bCs/>
        </w:rPr>
        <w:t xml:space="preserve">magasabb bevétele </w:t>
      </w:r>
      <w:r>
        <w:rPr>
          <w:rFonts w:ascii="Times New Roman" w:hAnsi="Times New Roman" w:cs="Times New Roman"/>
          <w:bCs/>
        </w:rPr>
        <w:t>származhatna a kulcs mérséléséből</w:t>
      </w:r>
      <w:r w:rsidR="007B4008">
        <w:rPr>
          <w:rFonts w:ascii="Times New Roman" w:hAnsi="Times New Roman" w:cs="Times New Roman"/>
          <w:bCs/>
        </w:rPr>
        <w:t>.</w:t>
      </w:r>
      <w:r w:rsidR="008F6247">
        <w:rPr>
          <w:rFonts w:ascii="Times New Roman" w:hAnsi="Times New Roman" w:cs="Times New Roman"/>
          <w:bCs/>
        </w:rPr>
        <w:t xml:space="preserve"> 2019-ben a tervek szerint 4 200 milliárd forint bevétele </w:t>
      </w:r>
      <w:r w:rsidR="004703A6">
        <w:rPr>
          <w:rFonts w:ascii="Times New Roman" w:hAnsi="Times New Roman" w:cs="Times New Roman"/>
          <w:bCs/>
        </w:rPr>
        <w:t>lehet</w:t>
      </w:r>
      <w:r w:rsidR="008F6247">
        <w:rPr>
          <w:rFonts w:ascii="Times New Roman" w:hAnsi="Times New Roman" w:cs="Times New Roman"/>
          <w:bCs/>
        </w:rPr>
        <w:t xml:space="preserve"> a költségvetésnek ÁFA be</w:t>
      </w:r>
      <w:r w:rsidR="008B7363">
        <w:rPr>
          <w:rFonts w:ascii="Times New Roman" w:hAnsi="Times New Roman" w:cs="Times New Roman"/>
          <w:bCs/>
        </w:rPr>
        <w:t xml:space="preserve">fizetésekből. </w:t>
      </w:r>
    </w:p>
    <w:p w:rsidR="00752BE6" w:rsidRPr="00284812" w:rsidRDefault="00752BE6" w:rsidP="00752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</w:rPr>
        <w:t xml:space="preserve">     </w:t>
      </w:r>
      <w:r w:rsidR="008B7363" w:rsidRPr="00752BE6">
        <w:rPr>
          <w:rFonts w:ascii="Times New Roman" w:hAnsi="Times New Roman" w:cs="Times New Roman"/>
          <w:b/>
          <w:bCs/>
        </w:rPr>
        <w:t>Segítséget jelenthetne költségvetési károk nélkül a cafeteria rendszer átalakításának újragondolása.</w:t>
      </w:r>
      <w:r>
        <w:rPr>
          <w:rFonts w:ascii="Times New Roman" w:hAnsi="Times New Roman" w:cs="Times New Roman"/>
          <w:bCs/>
        </w:rPr>
        <w:t xml:space="preserve"> </w:t>
      </w:r>
      <w:r w:rsidRPr="00284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költségvetési alapfolyamatok nem indokolják, nem igénylik a beavatkozást.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84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költségvetésnek érdemi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többletbevétele nem keletkezne</w:t>
      </w:r>
      <w:r w:rsidRPr="002848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átalakításból. A legnagyobb vesztesek a munkavállalók lehetnek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Esetükben jellemzően 3-6% közötti nettóbér csökkenés is bekövetkezhet, ami erodálja az elmúlt évek béremelkedéssel kapcsolatos erőfeszítéseit, eredményeit.</w:t>
      </w:r>
    </w:p>
    <w:p w:rsidR="008B7363" w:rsidRDefault="008B7363" w:rsidP="000048F6">
      <w:pPr>
        <w:spacing w:after="0"/>
        <w:jc w:val="both"/>
        <w:rPr>
          <w:rFonts w:ascii="Times New Roman" w:hAnsi="Times New Roman" w:cs="Times New Roman"/>
          <w:bCs/>
        </w:rPr>
      </w:pPr>
    </w:p>
    <w:p w:rsidR="002D60BA" w:rsidRDefault="001D5959" w:rsidP="001D5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959">
        <w:rPr>
          <w:rFonts w:ascii="Times New Roman" w:hAnsi="Times New Roman" w:cs="Times New Roman"/>
          <w:b/>
          <w:sz w:val="24"/>
          <w:szCs w:val="24"/>
        </w:rPr>
        <w:t>Források</w:t>
      </w:r>
    </w:p>
    <w:p w:rsidR="001D5959" w:rsidRPr="001E2B0B" w:rsidRDefault="001E2B0B" w:rsidP="001E2B0B">
      <w:pPr>
        <w:pStyle w:val="Listaszerbekezds"/>
        <w:numPr>
          <w:ilvl w:val="0"/>
          <w:numId w:val="4"/>
        </w:numPr>
        <w:jc w:val="both"/>
      </w:pPr>
      <w:r w:rsidRPr="001E2B0B">
        <w:t>MNB Inflációs jelentés, 2018. szeptember</w:t>
      </w:r>
    </w:p>
    <w:p w:rsidR="001E2B0B" w:rsidRPr="001E2B0B" w:rsidRDefault="001E2B0B" w:rsidP="001E2B0B">
      <w:pPr>
        <w:pStyle w:val="Listaszerbekezds"/>
        <w:numPr>
          <w:ilvl w:val="0"/>
          <w:numId w:val="4"/>
        </w:numPr>
        <w:jc w:val="both"/>
      </w:pPr>
      <w:r w:rsidRPr="001E2B0B">
        <w:t>MNB Költségvetési jelentés, 2018. július</w:t>
      </w:r>
    </w:p>
    <w:p w:rsidR="001E2B0B" w:rsidRPr="001E2B0B" w:rsidRDefault="001E2B0B" w:rsidP="001E2B0B">
      <w:pPr>
        <w:pStyle w:val="Listaszerbekezds"/>
        <w:numPr>
          <w:ilvl w:val="0"/>
          <w:numId w:val="4"/>
        </w:numPr>
        <w:jc w:val="both"/>
      </w:pPr>
      <w:r w:rsidRPr="001E2B0B">
        <w:t>KSH: Magyarország 2017</w:t>
      </w:r>
    </w:p>
    <w:p w:rsidR="001E2B0B" w:rsidRPr="001E2B0B" w:rsidRDefault="001E2B0B" w:rsidP="001E2B0B">
      <w:pPr>
        <w:pStyle w:val="Listaszerbekezds"/>
        <w:numPr>
          <w:ilvl w:val="0"/>
          <w:numId w:val="4"/>
        </w:numPr>
        <w:jc w:val="both"/>
      </w:pPr>
      <w:r>
        <w:t>Magyarország Konvergencia Programja 2018-2022</w:t>
      </w:r>
    </w:p>
    <w:p w:rsidR="001E2B0B" w:rsidRDefault="001E2B0B" w:rsidP="001E2B0B">
      <w:pPr>
        <w:pStyle w:val="Listaszerbekezds"/>
        <w:numPr>
          <w:ilvl w:val="0"/>
          <w:numId w:val="4"/>
        </w:numPr>
        <w:jc w:val="both"/>
      </w:pPr>
      <w:hyperlink r:id="rId15" w:history="1">
        <w:r w:rsidRPr="001E2B0B">
          <w:t>www.ksh.hu</w:t>
        </w:r>
      </w:hyperlink>
    </w:p>
    <w:p w:rsidR="000F1041" w:rsidRPr="001E2B0B" w:rsidRDefault="000F1041" w:rsidP="001E2B0B">
      <w:pPr>
        <w:pStyle w:val="Listaszerbekezds"/>
        <w:numPr>
          <w:ilvl w:val="0"/>
          <w:numId w:val="4"/>
        </w:numPr>
        <w:jc w:val="both"/>
      </w:pPr>
      <w:r w:rsidRPr="000F1041">
        <w:t>h</w:t>
      </w:r>
      <w:r>
        <w:t>ttps://ec.europa.eu/eurostat</w:t>
      </w:r>
    </w:p>
    <w:p w:rsidR="001E2B0B" w:rsidRPr="001E2B0B" w:rsidRDefault="001E2B0B" w:rsidP="001E2B0B">
      <w:pPr>
        <w:pStyle w:val="Listaszerbekezds"/>
        <w:numPr>
          <w:ilvl w:val="0"/>
          <w:numId w:val="4"/>
        </w:numPr>
        <w:jc w:val="both"/>
      </w:pPr>
      <w:hyperlink r:id="rId16" w:history="1">
        <w:r w:rsidRPr="001E2B0B">
          <w:t>www.mnb.hu</w:t>
        </w:r>
      </w:hyperlink>
    </w:p>
    <w:p w:rsidR="001E2B0B" w:rsidRPr="00DE7754" w:rsidRDefault="001E2B0B" w:rsidP="00DE7754">
      <w:pPr>
        <w:pStyle w:val="Listaszerbekezds"/>
        <w:numPr>
          <w:ilvl w:val="0"/>
          <w:numId w:val="4"/>
        </w:numPr>
        <w:jc w:val="both"/>
      </w:pPr>
      <w:hyperlink r:id="rId17" w:history="1">
        <w:r w:rsidRPr="001E2B0B">
          <w:t>www.portfolio.hu</w:t>
        </w:r>
      </w:hyperlink>
    </w:p>
    <w:p w:rsidR="000326C3" w:rsidRDefault="000326C3" w:rsidP="001D59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DA4" w:rsidRDefault="008D3DA4" w:rsidP="001D59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DA4" w:rsidRDefault="008D3DA4" w:rsidP="001D59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DA4" w:rsidRDefault="008D3DA4" w:rsidP="001D59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DA4" w:rsidRDefault="008D3DA4" w:rsidP="001D59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DA4" w:rsidRDefault="008D3DA4" w:rsidP="001D59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DA4" w:rsidRDefault="008D3DA4" w:rsidP="001D59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DA4" w:rsidRDefault="008D3DA4" w:rsidP="001D59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DA4" w:rsidRDefault="008D3DA4" w:rsidP="001D59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DA4" w:rsidRDefault="008D3DA4" w:rsidP="001D59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DA4" w:rsidRDefault="008D3DA4" w:rsidP="001D59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DA4" w:rsidRDefault="008D3DA4" w:rsidP="001D59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DA4" w:rsidRDefault="008D3DA4" w:rsidP="001D59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DA4" w:rsidRDefault="008D3DA4" w:rsidP="001D59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53" w:rsidRDefault="00421961" w:rsidP="008A6D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Mellékletek</w:t>
      </w:r>
    </w:p>
    <w:p w:rsidR="00DB6C40" w:rsidRDefault="00DB6C40" w:rsidP="008A6D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6C3" w:rsidRPr="008D3DA4" w:rsidRDefault="000326C3" w:rsidP="000326C3">
      <w:pPr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DA4">
        <w:rPr>
          <w:rFonts w:ascii="Times New Roman" w:hAnsi="Times New Roman" w:cs="Times New Roman"/>
          <w:b/>
          <w:bCs/>
          <w:sz w:val="24"/>
          <w:szCs w:val="24"/>
        </w:rPr>
        <w:t>Munkaerő-piaci mutatók az EU-ban</w:t>
      </w:r>
    </w:p>
    <w:p w:rsidR="002D60BA" w:rsidRDefault="000326C3" w:rsidP="00032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C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105275" cy="6067425"/>
            <wp:effectExtent l="19050" t="0" r="9525" b="0"/>
            <wp:docPr id="2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6C3" w:rsidRPr="000326C3" w:rsidRDefault="000326C3" w:rsidP="000326C3">
      <w:pPr>
        <w:jc w:val="center"/>
        <w:rPr>
          <w:rFonts w:ascii="Times New Roman" w:hAnsi="Times New Roman" w:cs="Times New Roman"/>
          <w:sz w:val="20"/>
          <w:szCs w:val="20"/>
        </w:rPr>
      </w:pPr>
      <w:r w:rsidRPr="000326C3">
        <w:rPr>
          <w:rFonts w:ascii="Times New Roman" w:hAnsi="Times New Roman" w:cs="Times New Roman"/>
          <w:sz w:val="20"/>
          <w:szCs w:val="20"/>
        </w:rPr>
        <w:t>Forrás:</w:t>
      </w:r>
      <w:r>
        <w:rPr>
          <w:rFonts w:ascii="Times New Roman" w:hAnsi="Times New Roman" w:cs="Times New Roman"/>
          <w:sz w:val="20"/>
          <w:szCs w:val="20"/>
        </w:rPr>
        <w:t>???</w:t>
      </w:r>
    </w:p>
    <w:p w:rsidR="00421961" w:rsidRDefault="00421961" w:rsidP="008A6D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4745317"/>
            <wp:effectExtent l="19050" t="0" r="0" b="0"/>
            <wp:docPr id="16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70" w:rsidRDefault="008A6270" w:rsidP="008A62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Forrás: MNB Költségvetési jelentés, 2018. július</w:t>
      </w:r>
    </w:p>
    <w:p w:rsidR="00B111FC" w:rsidRDefault="00B111FC" w:rsidP="000326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26C3" w:rsidRDefault="000326C3" w:rsidP="000326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26C3" w:rsidRPr="000326C3" w:rsidRDefault="000326C3" w:rsidP="00032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C3">
        <w:rPr>
          <w:rFonts w:ascii="Times New Roman" w:hAnsi="Times New Roman" w:cs="Times New Roman"/>
          <w:b/>
          <w:sz w:val="24"/>
          <w:szCs w:val="24"/>
        </w:rPr>
        <w:t>A lakosság fogyasztási, beruházási és megtakarítási rátájának alakulása a rendelkezésre álló jövedelem arányában</w:t>
      </w:r>
    </w:p>
    <w:p w:rsidR="00B111FC" w:rsidRDefault="00B111FC" w:rsidP="00032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99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24000" cy="2304000"/>
            <wp:effectExtent l="0" t="0" r="0" b="0"/>
            <wp:docPr id="23" name="Diagram 2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54063C0E-544E-470D-B421-EEC7C608D9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326C3" w:rsidRDefault="000326C3" w:rsidP="000326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Forrás: MNB Inflációs jelentés, 2018. szeptember</w:t>
      </w:r>
    </w:p>
    <w:p w:rsidR="003C57B6" w:rsidRPr="00865C0A" w:rsidRDefault="003C57B6" w:rsidP="003C5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0A">
        <w:rPr>
          <w:rFonts w:ascii="Times New Roman" w:hAnsi="Times New Roman" w:cs="Times New Roman"/>
          <w:b/>
          <w:sz w:val="24"/>
          <w:szCs w:val="24"/>
        </w:rPr>
        <w:lastRenderedPageBreak/>
        <w:t>A bérezési alapfolyamat és az adminisztratív intézkedések hatása a versenyszféra bérdinamikáján belül</w:t>
      </w:r>
    </w:p>
    <w:p w:rsidR="003C57B6" w:rsidRDefault="003C57B6" w:rsidP="003C57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7B6" w:rsidRDefault="003C57B6" w:rsidP="003C57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0E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24000" cy="2304000"/>
            <wp:effectExtent l="0" t="0" r="0" b="0"/>
            <wp:docPr id="29" name="Diagram 4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11E7F3E3-59A7-4F10-883A-D541577836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C57B6" w:rsidRDefault="003C57B6" w:rsidP="003C57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Forrás: MNB Inflációs jelentés, 2018. szeptember</w:t>
      </w:r>
    </w:p>
    <w:p w:rsidR="003C57B6" w:rsidRDefault="003C57B6" w:rsidP="003C57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57B6" w:rsidRDefault="003C57B6" w:rsidP="003C57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F7858">
        <w:rPr>
          <w:rFonts w:ascii="Times New Roman" w:hAnsi="Times New Roman" w:cs="Times New Roman"/>
          <w:sz w:val="20"/>
          <w:szCs w:val="20"/>
        </w:rPr>
        <w:t>*Az adminisztratív intézkedések: érdemi minimálbér- és garantált bérminimum emelések, cafeteria rendszer átalakítása.</w:t>
      </w:r>
    </w:p>
    <w:p w:rsidR="00B111FC" w:rsidRDefault="00B111FC" w:rsidP="008A6D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11FC" w:rsidSect="00947563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3AD" w:rsidRDefault="007953AD" w:rsidP="00EC6064">
      <w:pPr>
        <w:spacing w:after="0" w:line="240" w:lineRule="auto"/>
      </w:pPr>
      <w:r>
        <w:separator/>
      </w:r>
    </w:p>
  </w:endnote>
  <w:endnote w:type="continuationSeparator" w:id="1">
    <w:p w:rsidR="007953AD" w:rsidRDefault="007953AD" w:rsidP="00EC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Casl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81059"/>
      <w:docPartObj>
        <w:docPartGallery w:val="Page Numbers (Bottom of Page)"/>
        <w:docPartUnique/>
      </w:docPartObj>
    </w:sdtPr>
    <w:sdtContent>
      <w:p w:rsidR="003870AF" w:rsidRDefault="003870AF">
        <w:pPr>
          <w:pStyle w:val="llb"/>
          <w:jc w:val="right"/>
        </w:pPr>
        <w:fldSimple w:instr=" PAGE   \* MERGEFORMAT ">
          <w:r w:rsidR="00750606">
            <w:rPr>
              <w:noProof/>
            </w:rPr>
            <w:t>15</w:t>
          </w:r>
        </w:fldSimple>
      </w:p>
    </w:sdtContent>
  </w:sdt>
  <w:p w:rsidR="003870AF" w:rsidRDefault="003870A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3AD" w:rsidRDefault="007953AD" w:rsidP="00EC6064">
      <w:pPr>
        <w:spacing w:after="0" w:line="240" w:lineRule="auto"/>
      </w:pPr>
      <w:r>
        <w:separator/>
      </w:r>
    </w:p>
  </w:footnote>
  <w:footnote w:type="continuationSeparator" w:id="1">
    <w:p w:rsidR="007953AD" w:rsidRDefault="007953AD" w:rsidP="00EC6064">
      <w:pPr>
        <w:spacing w:after="0" w:line="240" w:lineRule="auto"/>
      </w:pPr>
      <w:r>
        <w:continuationSeparator/>
      </w:r>
    </w:p>
  </w:footnote>
  <w:footnote w:id="2">
    <w:p w:rsidR="003870AF" w:rsidRDefault="003870AF">
      <w:pPr>
        <w:pStyle w:val="Lbjegyzetszveg"/>
      </w:pPr>
      <w:r>
        <w:rPr>
          <w:rStyle w:val="Lbjegyzet-hivatkozs"/>
        </w:rPr>
        <w:footnoteRef/>
      </w:r>
      <w:r>
        <w:t xml:space="preserve"> MNB Inflációs jelentés, 2018. szeptember</w:t>
      </w:r>
    </w:p>
  </w:footnote>
  <w:footnote w:id="3">
    <w:p w:rsidR="003870AF" w:rsidRDefault="003870AF">
      <w:pPr>
        <w:pStyle w:val="Lbjegyzetszveg"/>
      </w:pPr>
      <w:r>
        <w:rPr>
          <w:rStyle w:val="Lbjegyzet-hivatkozs"/>
        </w:rPr>
        <w:footnoteRef/>
      </w:r>
      <w:r>
        <w:t xml:space="preserve"> Magyarország Konvergencia Programja 2018-2022</w:t>
      </w:r>
    </w:p>
  </w:footnote>
  <w:footnote w:id="4">
    <w:p w:rsidR="003870AF" w:rsidRDefault="003870AF">
      <w:pPr>
        <w:pStyle w:val="Lbjegyzetszveg"/>
      </w:pPr>
      <w:r>
        <w:rPr>
          <w:rStyle w:val="Lbjegyzet-hivatkozs"/>
        </w:rPr>
        <w:footnoteRef/>
      </w:r>
      <w:r>
        <w:t xml:space="preserve"> KSH Gyorstájékoztató, 2018.09.20</w:t>
      </w:r>
    </w:p>
  </w:footnote>
  <w:footnote w:id="5">
    <w:p w:rsidR="003870AF" w:rsidRDefault="003870A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A37E04">
          <w:rPr>
            <w:rStyle w:val="Hiperhivatkozs"/>
          </w:rPr>
          <w:t>http://appsso.eurostat.ec.europa.eu/nui/show.do?dataset=earn_mw_cur&amp;lang=en</w:t>
        </w:r>
      </w:hyperlink>
    </w:p>
    <w:p w:rsidR="003870AF" w:rsidRDefault="003870AF">
      <w:pPr>
        <w:pStyle w:val="Lbjegyzetszveg"/>
      </w:pPr>
    </w:p>
  </w:footnote>
  <w:footnote w:id="6">
    <w:p w:rsidR="003870AF" w:rsidRDefault="003870AF">
      <w:pPr>
        <w:pStyle w:val="Lbjegyzetszveg"/>
      </w:pPr>
      <w:r>
        <w:rPr>
          <w:rStyle w:val="Lbjegyzet-hivatkozs"/>
        </w:rPr>
        <w:footnoteRef/>
      </w:r>
      <w:r>
        <w:t xml:space="preserve"> MNB Inflációs jelentés, 2018 szeptember</w:t>
      </w:r>
    </w:p>
  </w:footnote>
  <w:footnote w:id="7">
    <w:p w:rsidR="003870AF" w:rsidRDefault="003870AF">
      <w:pPr>
        <w:pStyle w:val="Lbjegyzetszveg"/>
      </w:pPr>
      <w:r>
        <w:rPr>
          <w:rStyle w:val="Lbjegyzet-hivatkozs"/>
        </w:rPr>
        <w:footnoteRef/>
      </w:r>
      <w:r>
        <w:t xml:space="preserve"> KSH: Magyarország 2017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285C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680ECC"/>
    <w:multiLevelType w:val="multilevel"/>
    <w:tmpl w:val="7F9C23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69B5A0B"/>
    <w:multiLevelType w:val="multilevel"/>
    <w:tmpl w:val="42C4D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9E51D5F"/>
    <w:multiLevelType w:val="hybridMultilevel"/>
    <w:tmpl w:val="6D0AA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FDE"/>
    <w:rsid w:val="000048F6"/>
    <w:rsid w:val="00015CA9"/>
    <w:rsid w:val="000326C3"/>
    <w:rsid w:val="000459B3"/>
    <w:rsid w:val="000524CF"/>
    <w:rsid w:val="0006231C"/>
    <w:rsid w:val="0007166B"/>
    <w:rsid w:val="000E07A8"/>
    <w:rsid w:val="000E2E31"/>
    <w:rsid w:val="000F1041"/>
    <w:rsid w:val="000F408B"/>
    <w:rsid w:val="00103F0E"/>
    <w:rsid w:val="00151842"/>
    <w:rsid w:val="00174CFA"/>
    <w:rsid w:val="00194BD0"/>
    <w:rsid w:val="00195B60"/>
    <w:rsid w:val="001B26CF"/>
    <w:rsid w:val="001B6E58"/>
    <w:rsid w:val="001D5959"/>
    <w:rsid w:val="001E2B0B"/>
    <w:rsid w:val="001E5540"/>
    <w:rsid w:val="001F4CBC"/>
    <w:rsid w:val="001F7DED"/>
    <w:rsid w:val="0024160C"/>
    <w:rsid w:val="00251DAC"/>
    <w:rsid w:val="002557D6"/>
    <w:rsid w:val="0025777F"/>
    <w:rsid w:val="00267ECE"/>
    <w:rsid w:val="00287337"/>
    <w:rsid w:val="002915C1"/>
    <w:rsid w:val="002C299C"/>
    <w:rsid w:val="002D60BA"/>
    <w:rsid w:val="002E6625"/>
    <w:rsid w:val="00315C0D"/>
    <w:rsid w:val="00316802"/>
    <w:rsid w:val="003215BC"/>
    <w:rsid w:val="00321D47"/>
    <w:rsid w:val="00350274"/>
    <w:rsid w:val="00350D85"/>
    <w:rsid w:val="00361FDE"/>
    <w:rsid w:val="0036543F"/>
    <w:rsid w:val="00367F91"/>
    <w:rsid w:val="00370968"/>
    <w:rsid w:val="003870AF"/>
    <w:rsid w:val="00396AC5"/>
    <w:rsid w:val="00397624"/>
    <w:rsid w:val="003A2C91"/>
    <w:rsid w:val="003A58AA"/>
    <w:rsid w:val="003B28E7"/>
    <w:rsid w:val="003C57B6"/>
    <w:rsid w:val="003D4AB7"/>
    <w:rsid w:val="004041F3"/>
    <w:rsid w:val="004129D6"/>
    <w:rsid w:val="00421961"/>
    <w:rsid w:val="004703A6"/>
    <w:rsid w:val="004A18F6"/>
    <w:rsid w:val="004A1D2F"/>
    <w:rsid w:val="004C4E5E"/>
    <w:rsid w:val="004E192D"/>
    <w:rsid w:val="004E3C7A"/>
    <w:rsid w:val="004F6644"/>
    <w:rsid w:val="00501B70"/>
    <w:rsid w:val="0051276D"/>
    <w:rsid w:val="00516C5D"/>
    <w:rsid w:val="00522F88"/>
    <w:rsid w:val="005A1D9B"/>
    <w:rsid w:val="005B2372"/>
    <w:rsid w:val="005B77E6"/>
    <w:rsid w:val="00605AA4"/>
    <w:rsid w:val="00624F47"/>
    <w:rsid w:val="00630B05"/>
    <w:rsid w:val="00635D7E"/>
    <w:rsid w:val="006569DD"/>
    <w:rsid w:val="0066758E"/>
    <w:rsid w:val="006678B3"/>
    <w:rsid w:val="006A457C"/>
    <w:rsid w:val="006D26B3"/>
    <w:rsid w:val="00714D47"/>
    <w:rsid w:val="007242E4"/>
    <w:rsid w:val="00750606"/>
    <w:rsid w:val="00752BE6"/>
    <w:rsid w:val="00776999"/>
    <w:rsid w:val="007953AD"/>
    <w:rsid w:val="00796689"/>
    <w:rsid w:val="007A44D9"/>
    <w:rsid w:val="007B4008"/>
    <w:rsid w:val="007E25A9"/>
    <w:rsid w:val="007E376E"/>
    <w:rsid w:val="007F4A6F"/>
    <w:rsid w:val="008040F1"/>
    <w:rsid w:val="00816688"/>
    <w:rsid w:val="00826C66"/>
    <w:rsid w:val="00835043"/>
    <w:rsid w:val="00835979"/>
    <w:rsid w:val="00842871"/>
    <w:rsid w:val="00865C0A"/>
    <w:rsid w:val="00872336"/>
    <w:rsid w:val="008A6270"/>
    <w:rsid w:val="008A6D53"/>
    <w:rsid w:val="008B5697"/>
    <w:rsid w:val="008B7363"/>
    <w:rsid w:val="008C2525"/>
    <w:rsid w:val="008C4B90"/>
    <w:rsid w:val="008D3231"/>
    <w:rsid w:val="008D3DA4"/>
    <w:rsid w:val="008D594A"/>
    <w:rsid w:val="008E42DA"/>
    <w:rsid w:val="008E744F"/>
    <w:rsid w:val="008F4951"/>
    <w:rsid w:val="008F6247"/>
    <w:rsid w:val="009211BC"/>
    <w:rsid w:val="0093370D"/>
    <w:rsid w:val="00936F11"/>
    <w:rsid w:val="00945F85"/>
    <w:rsid w:val="00947563"/>
    <w:rsid w:val="0095295E"/>
    <w:rsid w:val="00976E76"/>
    <w:rsid w:val="00984372"/>
    <w:rsid w:val="0099577D"/>
    <w:rsid w:val="009A3BEF"/>
    <w:rsid w:val="009D5AA0"/>
    <w:rsid w:val="009F4B21"/>
    <w:rsid w:val="00A06986"/>
    <w:rsid w:val="00A10788"/>
    <w:rsid w:val="00A17905"/>
    <w:rsid w:val="00A36176"/>
    <w:rsid w:val="00A447EC"/>
    <w:rsid w:val="00A54561"/>
    <w:rsid w:val="00A65178"/>
    <w:rsid w:val="00A84C37"/>
    <w:rsid w:val="00AA2B8C"/>
    <w:rsid w:val="00AB0257"/>
    <w:rsid w:val="00AE736C"/>
    <w:rsid w:val="00AF6221"/>
    <w:rsid w:val="00B111FC"/>
    <w:rsid w:val="00B24D2E"/>
    <w:rsid w:val="00B33716"/>
    <w:rsid w:val="00B4068A"/>
    <w:rsid w:val="00C14F35"/>
    <w:rsid w:val="00C17775"/>
    <w:rsid w:val="00C45F1D"/>
    <w:rsid w:val="00C838B9"/>
    <w:rsid w:val="00C900EA"/>
    <w:rsid w:val="00C9277D"/>
    <w:rsid w:val="00C95C21"/>
    <w:rsid w:val="00CA3269"/>
    <w:rsid w:val="00CB27A4"/>
    <w:rsid w:val="00CC5079"/>
    <w:rsid w:val="00CC6E55"/>
    <w:rsid w:val="00CD3EB8"/>
    <w:rsid w:val="00CD556D"/>
    <w:rsid w:val="00CE6F0A"/>
    <w:rsid w:val="00CF0CCD"/>
    <w:rsid w:val="00CF7858"/>
    <w:rsid w:val="00D1542A"/>
    <w:rsid w:val="00D235D9"/>
    <w:rsid w:val="00D24A4A"/>
    <w:rsid w:val="00D360BF"/>
    <w:rsid w:val="00D5470A"/>
    <w:rsid w:val="00D56E5A"/>
    <w:rsid w:val="00D6397E"/>
    <w:rsid w:val="00DB697A"/>
    <w:rsid w:val="00DB6C40"/>
    <w:rsid w:val="00DC1F7D"/>
    <w:rsid w:val="00DD3013"/>
    <w:rsid w:val="00DE3849"/>
    <w:rsid w:val="00DE7754"/>
    <w:rsid w:val="00DF7536"/>
    <w:rsid w:val="00E33B2C"/>
    <w:rsid w:val="00E37333"/>
    <w:rsid w:val="00E57C8A"/>
    <w:rsid w:val="00E772D6"/>
    <w:rsid w:val="00E909E5"/>
    <w:rsid w:val="00EA5B31"/>
    <w:rsid w:val="00EA7D3F"/>
    <w:rsid w:val="00EC181A"/>
    <w:rsid w:val="00EC6064"/>
    <w:rsid w:val="00ED1805"/>
    <w:rsid w:val="00ED4068"/>
    <w:rsid w:val="00EF6666"/>
    <w:rsid w:val="00F0524B"/>
    <w:rsid w:val="00F85F52"/>
    <w:rsid w:val="00F9163C"/>
    <w:rsid w:val="00FC1B7F"/>
    <w:rsid w:val="00FD7CD4"/>
    <w:rsid w:val="00FE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97E"/>
  </w:style>
  <w:style w:type="paragraph" w:styleId="Cmsor1">
    <w:name w:val="heading 1"/>
    <w:basedOn w:val="Norml"/>
    <w:next w:val="Norml"/>
    <w:link w:val="Cmsor1Char"/>
    <w:qFormat/>
    <w:rsid w:val="007F4A6F"/>
    <w:pPr>
      <w:keepNext/>
      <w:numPr>
        <w:numId w:val="1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7F4A6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6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7F4A6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7F4A6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7F4A6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7F4A6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paragraph" w:styleId="Cmsor7">
    <w:name w:val="heading 7"/>
    <w:basedOn w:val="Norml"/>
    <w:next w:val="Norml"/>
    <w:link w:val="Cmsor7Char"/>
    <w:qFormat/>
    <w:rsid w:val="007F4A6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7F4A6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7F4A6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8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337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7F4A6F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7F4A6F"/>
    <w:rPr>
      <w:rFonts w:ascii="Times New Roman" w:eastAsia="Times New Roman" w:hAnsi="Times New Roman" w:cs="Arial"/>
      <w:b/>
      <w:bCs/>
      <w:iCs/>
      <w:sz w:val="26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7F4A6F"/>
    <w:rPr>
      <w:rFonts w:ascii="Times New Roman" w:eastAsia="Times New Roman" w:hAnsi="Times New Roman" w:cs="Arial"/>
      <w:b/>
      <w:bCs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7F4A6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7F4A6F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7F4A6F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7F4A6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7F4A6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7F4A6F"/>
    <w:rPr>
      <w:rFonts w:ascii="Arial" w:eastAsia="Times New Roman" w:hAnsi="Arial" w:cs="Arial"/>
      <w:lang w:eastAsia="hu-HU"/>
    </w:rPr>
  </w:style>
  <w:style w:type="paragraph" w:styleId="Listaszerbekezds">
    <w:name w:val="List Paragraph"/>
    <w:basedOn w:val="Norml"/>
    <w:uiPriority w:val="34"/>
    <w:qFormat/>
    <w:rsid w:val="007F4A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C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C6064"/>
  </w:style>
  <w:style w:type="paragraph" w:styleId="llb">
    <w:name w:val="footer"/>
    <w:basedOn w:val="Norml"/>
    <w:link w:val="llbChar"/>
    <w:uiPriority w:val="99"/>
    <w:unhideWhenUsed/>
    <w:rsid w:val="00EC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606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A7D3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A7D3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A7D3F"/>
    <w:rPr>
      <w:vertAlign w:val="superscript"/>
    </w:rPr>
  </w:style>
  <w:style w:type="character" w:styleId="Kiemels2">
    <w:name w:val="Strong"/>
    <w:basedOn w:val="Bekezdsalapbettpusa"/>
    <w:uiPriority w:val="22"/>
    <w:qFormat/>
    <w:rsid w:val="00DD3013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D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p">
    <w:name w:val="bp"/>
    <w:basedOn w:val="Norml"/>
    <w:rsid w:val="0010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wrap">
    <w:name w:val="nowrap"/>
    <w:basedOn w:val="Bekezdsalapbettpusa"/>
    <w:rsid w:val="00103F0E"/>
  </w:style>
  <w:style w:type="character" w:styleId="Hiperhivatkozs">
    <w:name w:val="Hyperlink"/>
    <w:basedOn w:val="Bekezdsalapbettpusa"/>
    <w:uiPriority w:val="99"/>
    <w:unhideWhenUsed/>
    <w:rsid w:val="001E2B0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8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portfolio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nb.hu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sh.hu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psso.eurostat.ec.europa.eu/nui/show.do?dataset=earn_mw_cur&amp;lang=en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AppData\Local\Temp\m-1-fejezet-1st-chapter-25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User\AppData\Local\Temp\m-1-fejezet-1st-chapter-25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User\AppData\Local\Temp\m-1-fejezet-1st-chapter-2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Temp\m-1-fejezet-1st-chapter-2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>
        <c:manualLayout>
          <c:layoutTarget val="inner"/>
          <c:xMode val="edge"/>
          <c:yMode val="edge"/>
          <c:x val="8.6574074074074248E-2"/>
          <c:y val="7.9895555555555553E-2"/>
          <c:w val="0.85291137566137565"/>
          <c:h val="0.62238671875000007"/>
        </c:manualLayout>
      </c:layout>
      <c:barChart>
        <c:barDir val="col"/>
        <c:grouping val="stacked"/>
        <c:ser>
          <c:idx val="0"/>
          <c:order val="0"/>
          <c:tx>
            <c:strRef>
              <c:f>'c1-22'!$B$9</c:f>
              <c:strCache>
                <c:ptCount val="1"/>
                <c:pt idx="0">
                  <c:v>Bruttó átlagkereset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19050">
              <a:noFill/>
            </a:ln>
            <a:effectLst/>
          </c:spPr>
          <c:cat>
            <c:numRef>
              <c:f>'c1-22'!$A$20:$A$35</c:f>
              <c:numCache>
                <c:formatCode>yyyy/mm/dd</c:formatCode>
                <c:ptCount val="16"/>
                <c:pt idx="0">
                  <c:v>38353</c:v>
                </c:pt>
                <c:pt idx="1">
                  <c:v>38718</c:v>
                </c:pt>
                <c:pt idx="2">
                  <c:v>39083</c:v>
                </c:pt>
                <c:pt idx="3">
                  <c:v>39448</c:v>
                </c:pt>
                <c:pt idx="4">
                  <c:v>39814</c:v>
                </c:pt>
                <c:pt idx="5">
                  <c:v>40179</c:v>
                </c:pt>
                <c:pt idx="6">
                  <c:v>40544</c:v>
                </c:pt>
                <c:pt idx="7">
                  <c:v>40909</c:v>
                </c:pt>
                <c:pt idx="8">
                  <c:v>41275</c:v>
                </c:pt>
                <c:pt idx="9">
                  <c:v>41640</c:v>
                </c:pt>
                <c:pt idx="10">
                  <c:v>42005</c:v>
                </c:pt>
                <c:pt idx="11">
                  <c:v>42370</c:v>
                </c:pt>
                <c:pt idx="12">
                  <c:v>42736</c:v>
                </c:pt>
                <c:pt idx="13">
                  <c:v>43101</c:v>
                </c:pt>
                <c:pt idx="14">
                  <c:v>43466</c:v>
                </c:pt>
                <c:pt idx="15">
                  <c:v>43831</c:v>
                </c:pt>
              </c:numCache>
            </c:numRef>
          </c:cat>
          <c:val>
            <c:numRef>
              <c:f>'c1-22'!$B$20:$B$35</c:f>
              <c:numCache>
                <c:formatCode>0.0</c:formatCode>
                <c:ptCount val="16"/>
                <c:pt idx="0">
                  <c:v>6.92804506615132</c:v>
                </c:pt>
                <c:pt idx="1">
                  <c:v>9.391584326417961</c:v>
                </c:pt>
                <c:pt idx="2">
                  <c:v>9.205183335016951</c:v>
                </c:pt>
                <c:pt idx="3">
                  <c:v>8.2858068545187216</c:v>
                </c:pt>
                <c:pt idx="4">
                  <c:v>4.2918246498929875</c:v>
                </c:pt>
                <c:pt idx="5">
                  <c:v>3.2023243669359749</c:v>
                </c:pt>
                <c:pt idx="6">
                  <c:v>5.3778823825171003</c:v>
                </c:pt>
                <c:pt idx="7">
                  <c:v>7.2952457051537847</c:v>
                </c:pt>
                <c:pt idx="8">
                  <c:v>3.5866638731038569</c:v>
                </c:pt>
                <c:pt idx="9">
                  <c:v>4.2851835671852418</c:v>
                </c:pt>
                <c:pt idx="10">
                  <c:v>3.9737307800777022</c:v>
                </c:pt>
                <c:pt idx="11">
                  <c:v>5.4129300707198755</c:v>
                </c:pt>
                <c:pt idx="12">
                  <c:v>11.580303240058001</c:v>
                </c:pt>
                <c:pt idx="13">
                  <c:v>9.9595100820002287</c:v>
                </c:pt>
                <c:pt idx="14">
                  <c:v>8.1819687465924016</c:v>
                </c:pt>
                <c:pt idx="15">
                  <c:v>7.3351849455691855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00-4436-AA9C-1E63C54A405E}"/>
            </c:ext>
          </c:extLst>
        </c:ser>
        <c:gapWidth val="50"/>
        <c:overlap val="100"/>
        <c:axId val="122063104"/>
        <c:axId val="122035584"/>
      </c:barChart>
      <c:lineChart>
        <c:grouping val="standard"/>
        <c:ser>
          <c:idx val="3"/>
          <c:order val="1"/>
          <c:tx>
            <c:strRef>
              <c:f>'c1-22'!$C$9</c:f>
              <c:strCache>
                <c:ptCount val="1"/>
                <c:pt idx="0">
                  <c:v>Átlagos munkaerőköltség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bg1"/>
              </a:solidFill>
              <a:ln w="25400">
                <a:solidFill>
                  <a:schemeClr val="tx2"/>
                </a:solidFill>
              </a:ln>
              <a:effectLst/>
            </c:spPr>
          </c:marker>
          <c:cat>
            <c:numRef>
              <c:f>'c1-22'!$A$20:$A$35</c:f>
              <c:numCache>
                <c:formatCode>yyyy/mm/dd</c:formatCode>
                <c:ptCount val="16"/>
                <c:pt idx="0">
                  <c:v>38353</c:v>
                </c:pt>
                <c:pt idx="1">
                  <c:v>38718</c:v>
                </c:pt>
                <c:pt idx="2">
                  <c:v>39083</c:v>
                </c:pt>
                <c:pt idx="3">
                  <c:v>39448</c:v>
                </c:pt>
                <c:pt idx="4">
                  <c:v>39814</c:v>
                </c:pt>
                <c:pt idx="5">
                  <c:v>40179</c:v>
                </c:pt>
                <c:pt idx="6">
                  <c:v>40544</c:v>
                </c:pt>
                <c:pt idx="7">
                  <c:v>40909</c:v>
                </c:pt>
                <c:pt idx="8">
                  <c:v>41275</c:v>
                </c:pt>
                <c:pt idx="9">
                  <c:v>41640</c:v>
                </c:pt>
                <c:pt idx="10">
                  <c:v>42005</c:v>
                </c:pt>
                <c:pt idx="11">
                  <c:v>42370</c:v>
                </c:pt>
                <c:pt idx="12">
                  <c:v>42736</c:v>
                </c:pt>
                <c:pt idx="13">
                  <c:v>43101</c:v>
                </c:pt>
                <c:pt idx="14">
                  <c:v>43466</c:v>
                </c:pt>
                <c:pt idx="15">
                  <c:v>43831</c:v>
                </c:pt>
              </c:numCache>
            </c:numRef>
          </c:cat>
          <c:val>
            <c:numRef>
              <c:f>'c1-22'!$C$20:$C$35</c:f>
              <c:numCache>
                <c:formatCode>General</c:formatCode>
                <c:ptCount val="16"/>
                <c:pt idx="13" formatCode="0.0">
                  <c:v>7.7835943357226824</c:v>
                </c:pt>
                <c:pt idx="14" formatCode="0.0">
                  <c:v>6.3424467454080702</c:v>
                </c:pt>
                <c:pt idx="15" formatCode="0.0">
                  <c:v>6.494584787948015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700-4436-AA9C-1E63C54A405E}"/>
            </c:ext>
          </c:extLst>
        </c:ser>
        <c:marker val="1"/>
        <c:axId val="122063104"/>
        <c:axId val="122035584"/>
      </c:lineChart>
      <c:valAx>
        <c:axId val="122035584"/>
        <c:scaling>
          <c:orientation val="minMax"/>
          <c:max val="12"/>
          <c:min val="0"/>
        </c:scaling>
        <c:axPos val="l"/>
        <c:majorGridlines>
          <c:spPr>
            <a:ln w="3175" cap="flat" cmpd="sng" algn="ctr">
              <a:solidFill>
                <a:srgbClr val="BFBFBF"/>
              </a:solidFill>
              <a:prstDash val="sysDash"/>
              <a:round/>
            </a:ln>
            <a:effectLst/>
          </c:spPr>
        </c:majorGridlines>
        <c:numFmt formatCode="0" sourceLinked="0"/>
        <c:tickLblPos val="nextTo"/>
        <c:spPr>
          <a:noFill/>
          <a:ln w="3175">
            <a:solidFill>
              <a:srgbClr val="898D8D"/>
            </a:solidFill>
            <a:prstDash val="solid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122063104"/>
        <c:crosses val="autoZero"/>
        <c:crossBetween val="between"/>
      </c:valAx>
      <c:dateAx>
        <c:axId val="122063104"/>
        <c:scaling>
          <c:orientation val="minMax"/>
          <c:min val="39083"/>
        </c:scaling>
        <c:axPos val="b"/>
        <c:numFmt formatCode="yyyy" sourceLinked="0"/>
        <c:tickLblPos val="low"/>
        <c:spPr>
          <a:noFill/>
          <a:ln w="3175" cap="flat" cmpd="sng" algn="ctr">
            <a:solidFill>
              <a:srgbClr val="898D8D"/>
            </a:solidFill>
            <a:prstDash val="solid"/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lang="en-US" sz="900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122035584"/>
        <c:crosses val="autoZero"/>
        <c:lblOffset val="100"/>
        <c:baseTimeUnit val="years"/>
        <c:majorUnit val="1"/>
        <c:majorTimeUnit val="years"/>
      </c:date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1.2463768115939921E-4"/>
          <c:y val="0.85175998263889185"/>
          <c:w val="0.99987536231884155"/>
          <c:h val="0.1482400173611113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hu-HU"/>
        </a:p>
      </c:txPr>
    </c:legend>
    <c:plotVisOnly val="1"/>
    <c:dispBlanksAs val="gap"/>
  </c:chart>
  <c:spPr>
    <a:solidFill>
      <a:srgbClr val="FFFFFF"/>
    </a:solidFill>
    <a:ln w="25400" cap="flat" cmpd="sng" algn="ctr">
      <a:noFill/>
      <a:round/>
    </a:ln>
    <a:effectLst/>
  </c:spPr>
  <c:txPr>
    <a:bodyPr/>
    <a:lstStyle/>
    <a:p>
      <a:pPr>
        <a:defRPr sz="900" b="0" i="0">
          <a:solidFill>
            <a:srgbClr val="000000"/>
          </a:solidFill>
          <a:latin typeface="Calibri"/>
          <a:ea typeface="Calibri"/>
          <a:cs typeface="Calibri"/>
        </a:defRPr>
      </a:pPr>
      <a:endParaRPr lang="hu-H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>
        <c:manualLayout>
          <c:layoutTarget val="inner"/>
          <c:xMode val="edge"/>
          <c:yMode val="edge"/>
          <c:x val="9.0746946630969744E-2"/>
          <c:y val="8.0296088514883748E-2"/>
          <c:w val="0.82279055172316073"/>
          <c:h val="0.61173437500000005"/>
        </c:manualLayout>
      </c:layout>
      <c:lineChart>
        <c:grouping val="standard"/>
        <c:ser>
          <c:idx val="0"/>
          <c:order val="0"/>
          <c:tx>
            <c:strRef>
              <c:f>'c1-19'!$B$13</c:f>
              <c:strCache>
                <c:ptCount val="1"/>
                <c:pt idx="0">
                  <c:v>Aktivitási ráta</c:v>
                </c:pt>
              </c:strCache>
            </c:strRef>
          </c:tx>
          <c:spPr>
            <a:ln w="28575">
              <a:solidFill>
                <a:schemeClr val="tx2"/>
              </a:solidFill>
            </a:ln>
          </c:spPr>
          <c:marker>
            <c:symbol val="none"/>
          </c:marker>
          <c:cat>
            <c:numRef>
              <c:f>'c1-19'!$A$15:$A$36</c:f>
              <c:numCache>
                <c:formatCode>yyyy/mm/dd</c:formatCode>
                <c:ptCount val="22"/>
                <c:pt idx="0">
                  <c:v>36161</c:v>
                </c:pt>
                <c:pt idx="1">
                  <c:v>36526</c:v>
                </c:pt>
                <c:pt idx="2">
                  <c:v>36892</c:v>
                </c:pt>
                <c:pt idx="3">
                  <c:v>37257</c:v>
                </c:pt>
                <c:pt idx="4">
                  <c:v>37622</c:v>
                </c:pt>
                <c:pt idx="5">
                  <c:v>37987</c:v>
                </c:pt>
                <c:pt idx="6">
                  <c:v>38353</c:v>
                </c:pt>
                <c:pt idx="7">
                  <c:v>38718</c:v>
                </c:pt>
                <c:pt idx="8">
                  <c:v>39083</c:v>
                </c:pt>
                <c:pt idx="9">
                  <c:v>39448</c:v>
                </c:pt>
                <c:pt idx="10">
                  <c:v>39814</c:v>
                </c:pt>
                <c:pt idx="11">
                  <c:v>40179</c:v>
                </c:pt>
                <c:pt idx="12">
                  <c:v>40544</c:v>
                </c:pt>
                <c:pt idx="13">
                  <c:v>40909</c:v>
                </c:pt>
                <c:pt idx="14">
                  <c:v>41275</c:v>
                </c:pt>
                <c:pt idx="15">
                  <c:v>41640</c:v>
                </c:pt>
                <c:pt idx="16">
                  <c:v>42005</c:v>
                </c:pt>
                <c:pt idx="17">
                  <c:v>42370</c:v>
                </c:pt>
                <c:pt idx="18">
                  <c:v>42736</c:v>
                </c:pt>
                <c:pt idx="19">
                  <c:v>43101</c:v>
                </c:pt>
                <c:pt idx="20">
                  <c:v>43466</c:v>
                </c:pt>
                <c:pt idx="21">
                  <c:v>43831</c:v>
                </c:pt>
              </c:numCache>
            </c:numRef>
          </c:cat>
          <c:val>
            <c:numRef>
              <c:f>'c1-19'!$B$15:$B$36</c:f>
              <c:numCache>
                <c:formatCode>0.00</c:formatCode>
                <c:ptCount val="22"/>
                <c:pt idx="0">
                  <c:v>52.577935147941105</c:v>
                </c:pt>
                <c:pt idx="1">
                  <c:v>52.958094993251493</c:v>
                </c:pt>
                <c:pt idx="2">
                  <c:v>52.781807362614288</c:v>
                </c:pt>
                <c:pt idx="3">
                  <c:v>52.941991130063393</c:v>
                </c:pt>
                <c:pt idx="4">
                  <c:v>53.7956256213606</c:v>
                </c:pt>
                <c:pt idx="5">
                  <c:v>53.790711905895108</c:v>
                </c:pt>
                <c:pt idx="6">
                  <c:v>54.456134671414695</c:v>
                </c:pt>
                <c:pt idx="7">
                  <c:v>55.028970450041101</c:v>
                </c:pt>
                <c:pt idx="8">
                  <c:v>54.703367406479501</c:v>
                </c:pt>
                <c:pt idx="9">
                  <c:v>54.287572134398502</c:v>
                </c:pt>
                <c:pt idx="10">
                  <c:v>54.266764150811802</c:v>
                </c:pt>
                <c:pt idx="11">
                  <c:v>54.834840137645187</c:v>
                </c:pt>
                <c:pt idx="12">
                  <c:v>55.233669837961699</c:v>
                </c:pt>
                <c:pt idx="13">
                  <c:v>56.318870068198997</c:v>
                </c:pt>
                <c:pt idx="14">
                  <c:v>56.950713473120899</c:v>
                </c:pt>
                <c:pt idx="15">
                  <c:v>58.682394273877101</c:v>
                </c:pt>
                <c:pt idx="16">
                  <c:v>59.941364815922292</c:v>
                </c:pt>
                <c:pt idx="17">
                  <c:v>61.088260148592902</c:v>
                </c:pt>
                <c:pt idx="18">
                  <c:v>61.8347457442527</c:v>
                </c:pt>
                <c:pt idx="19">
                  <c:v>62.5295681913693</c:v>
                </c:pt>
                <c:pt idx="20">
                  <c:v>63.108412123573913</c:v>
                </c:pt>
                <c:pt idx="21">
                  <c:v>63.475848826503302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54-424F-AAB3-630DB757C2AC}"/>
            </c:ext>
          </c:extLst>
        </c:ser>
        <c:ser>
          <c:idx val="1"/>
          <c:order val="1"/>
          <c:tx>
            <c:strRef>
              <c:f>'c1-19'!$C$13</c:f>
              <c:strCache>
                <c:ptCount val="1"/>
                <c:pt idx="0">
                  <c:v>Foglalkoztatási ráta</c:v>
                </c:pt>
              </c:strCache>
            </c:strRef>
          </c:tx>
          <c:spPr>
            <a:ln w="28575">
              <a:solidFill>
                <a:schemeClr val="bg2">
                  <a:lumMod val="50000"/>
                </a:schemeClr>
              </a:solidFill>
              <a:prstDash val="sysDot"/>
            </a:ln>
          </c:spPr>
          <c:marker>
            <c:symbol val="none"/>
          </c:marker>
          <c:cat>
            <c:numRef>
              <c:f>'c1-19'!$A$15:$A$36</c:f>
              <c:numCache>
                <c:formatCode>yyyy/mm/dd</c:formatCode>
                <c:ptCount val="22"/>
                <c:pt idx="0">
                  <c:v>36161</c:v>
                </c:pt>
                <c:pt idx="1">
                  <c:v>36526</c:v>
                </c:pt>
                <c:pt idx="2">
                  <c:v>36892</c:v>
                </c:pt>
                <c:pt idx="3">
                  <c:v>37257</c:v>
                </c:pt>
                <c:pt idx="4">
                  <c:v>37622</c:v>
                </c:pt>
                <c:pt idx="5">
                  <c:v>37987</c:v>
                </c:pt>
                <c:pt idx="6">
                  <c:v>38353</c:v>
                </c:pt>
                <c:pt idx="7">
                  <c:v>38718</c:v>
                </c:pt>
                <c:pt idx="8">
                  <c:v>39083</c:v>
                </c:pt>
                <c:pt idx="9">
                  <c:v>39448</c:v>
                </c:pt>
                <c:pt idx="10">
                  <c:v>39814</c:v>
                </c:pt>
                <c:pt idx="11">
                  <c:v>40179</c:v>
                </c:pt>
                <c:pt idx="12">
                  <c:v>40544</c:v>
                </c:pt>
                <c:pt idx="13">
                  <c:v>40909</c:v>
                </c:pt>
                <c:pt idx="14">
                  <c:v>41275</c:v>
                </c:pt>
                <c:pt idx="15">
                  <c:v>41640</c:v>
                </c:pt>
                <c:pt idx="16">
                  <c:v>42005</c:v>
                </c:pt>
                <c:pt idx="17">
                  <c:v>42370</c:v>
                </c:pt>
                <c:pt idx="18">
                  <c:v>42736</c:v>
                </c:pt>
                <c:pt idx="19">
                  <c:v>43101</c:v>
                </c:pt>
                <c:pt idx="20">
                  <c:v>43466</c:v>
                </c:pt>
                <c:pt idx="21">
                  <c:v>43831</c:v>
                </c:pt>
              </c:numCache>
            </c:numRef>
          </c:cat>
          <c:val>
            <c:numRef>
              <c:f>'c1-19'!$C$15:$C$36</c:f>
              <c:numCache>
                <c:formatCode>0.00</c:formatCode>
                <c:ptCount val="22"/>
                <c:pt idx="0">
                  <c:v>48.91447759133758</c:v>
                </c:pt>
                <c:pt idx="1">
                  <c:v>49.568095635966301</c:v>
                </c:pt>
                <c:pt idx="2">
                  <c:v>49.769536338635213</c:v>
                </c:pt>
                <c:pt idx="3">
                  <c:v>49.865533822672106</c:v>
                </c:pt>
                <c:pt idx="4">
                  <c:v>50.6384681927928</c:v>
                </c:pt>
                <c:pt idx="5">
                  <c:v>50.5149799091459</c:v>
                </c:pt>
                <c:pt idx="6">
                  <c:v>50.521528002589811</c:v>
                </c:pt>
                <c:pt idx="7">
                  <c:v>50.905221718249898</c:v>
                </c:pt>
                <c:pt idx="8">
                  <c:v>50.652081957441794</c:v>
                </c:pt>
                <c:pt idx="9">
                  <c:v>50.0438936241584</c:v>
                </c:pt>
                <c:pt idx="10">
                  <c:v>48.823705639974911</c:v>
                </c:pt>
                <c:pt idx="11">
                  <c:v>48.708719854760808</c:v>
                </c:pt>
                <c:pt idx="12">
                  <c:v>49.141914617577498</c:v>
                </c:pt>
                <c:pt idx="13">
                  <c:v>50.122076598155211</c:v>
                </c:pt>
                <c:pt idx="14">
                  <c:v>51.155105574959912</c:v>
                </c:pt>
                <c:pt idx="15">
                  <c:v>54.149003836187305</c:v>
                </c:pt>
                <c:pt idx="16">
                  <c:v>55.857409309350587</c:v>
                </c:pt>
                <c:pt idx="17">
                  <c:v>57.963672824832599</c:v>
                </c:pt>
                <c:pt idx="18">
                  <c:v>59.265061536971608</c:v>
                </c:pt>
                <c:pt idx="19">
                  <c:v>60.315846435233986</c:v>
                </c:pt>
                <c:pt idx="20">
                  <c:v>60.947369707834092</c:v>
                </c:pt>
                <c:pt idx="21">
                  <c:v>61.349765502628898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54-424F-AAB3-630DB757C2AC}"/>
            </c:ext>
          </c:extLst>
        </c:ser>
        <c:marker val="1"/>
        <c:axId val="123294464"/>
        <c:axId val="123296000"/>
      </c:lineChart>
      <c:lineChart>
        <c:grouping val="standard"/>
        <c:ser>
          <c:idx val="2"/>
          <c:order val="2"/>
          <c:tx>
            <c:strRef>
              <c:f>'c1-19'!$D$13</c:f>
              <c:strCache>
                <c:ptCount val="1"/>
                <c:pt idx="0">
                  <c:v>Munkanélküliségi ráta (jobb tengely)</c:v>
                </c:pt>
              </c:strCache>
            </c:strRef>
          </c:tx>
          <c:spPr>
            <a:ln w="28575">
              <a:solidFill>
                <a:schemeClr val="accent1"/>
              </a:solidFill>
              <a:prstDash val="sysDash"/>
            </a:ln>
          </c:spPr>
          <c:marker>
            <c:symbol val="none"/>
          </c:marker>
          <c:cat>
            <c:numRef>
              <c:f>'c1-19'!$A$15:$A$36</c:f>
              <c:numCache>
                <c:formatCode>yyyy/mm/dd</c:formatCode>
                <c:ptCount val="22"/>
                <c:pt idx="0">
                  <c:v>36161</c:v>
                </c:pt>
                <c:pt idx="1">
                  <c:v>36526</c:v>
                </c:pt>
                <c:pt idx="2">
                  <c:v>36892</c:v>
                </c:pt>
                <c:pt idx="3">
                  <c:v>37257</c:v>
                </c:pt>
                <c:pt idx="4">
                  <c:v>37622</c:v>
                </c:pt>
                <c:pt idx="5">
                  <c:v>37987</c:v>
                </c:pt>
                <c:pt idx="6">
                  <c:v>38353</c:v>
                </c:pt>
                <c:pt idx="7">
                  <c:v>38718</c:v>
                </c:pt>
                <c:pt idx="8">
                  <c:v>39083</c:v>
                </c:pt>
                <c:pt idx="9">
                  <c:v>39448</c:v>
                </c:pt>
                <c:pt idx="10">
                  <c:v>39814</c:v>
                </c:pt>
                <c:pt idx="11">
                  <c:v>40179</c:v>
                </c:pt>
                <c:pt idx="12">
                  <c:v>40544</c:v>
                </c:pt>
                <c:pt idx="13">
                  <c:v>40909</c:v>
                </c:pt>
                <c:pt idx="14">
                  <c:v>41275</c:v>
                </c:pt>
                <c:pt idx="15">
                  <c:v>41640</c:v>
                </c:pt>
                <c:pt idx="16">
                  <c:v>42005</c:v>
                </c:pt>
                <c:pt idx="17">
                  <c:v>42370</c:v>
                </c:pt>
                <c:pt idx="18">
                  <c:v>42736</c:v>
                </c:pt>
                <c:pt idx="19">
                  <c:v>43101</c:v>
                </c:pt>
                <c:pt idx="20">
                  <c:v>43466</c:v>
                </c:pt>
                <c:pt idx="21">
                  <c:v>43831</c:v>
                </c:pt>
              </c:numCache>
            </c:numRef>
          </c:cat>
          <c:val>
            <c:numRef>
              <c:f>'c1-19'!$D$15:$D$36</c:f>
              <c:numCache>
                <c:formatCode>0.00</c:formatCode>
                <c:ptCount val="22"/>
                <c:pt idx="0">
                  <c:v>6.9676710321458</c:v>
                </c:pt>
                <c:pt idx="1">
                  <c:v>6.4012864467975303</c:v>
                </c:pt>
                <c:pt idx="2">
                  <c:v>5.7070251560062388</c:v>
                </c:pt>
                <c:pt idx="3">
                  <c:v>5.8109966053851494</c:v>
                </c:pt>
                <c:pt idx="4">
                  <c:v>5.8687995391843302</c:v>
                </c:pt>
                <c:pt idx="5">
                  <c:v>6.0897725289079094</c:v>
                </c:pt>
                <c:pt idx="6">
                  <c:v>7.2252771750438409</c:v>
                </c:pt>
                <c:pt idx="7">
                  <c:v>7.4937777284693503</c:v>
                </c:pt>
                <c:pt idx="8">
                  <c:v>7.4059160178096395</c:v>
                </c:pt>
                <c:pt idx="9">
                  <c:v>7.8170349923443894</c:v>
                </c:pt>
                <c:pt idx="10">
                  <c:v>10.030188082912398</c:v>
                </c:pt>
                <c:pt idx="11">
                  <c:v>11.171948833089901</c:v>
                </c:pt>
                <c:pt idx="12">
                  <c:v>11.029061147404301</c:v>
                </c:pt>
                <c:pt idx="13">
                  <c:v>11.0030500657058</c:v>
                </c:pt>
                <c:pt idx="14">
                  <c:v>10.176532557219504</c:v>
                </c:pt>
                <c:pt idx="15">
                  <c:v>7.7252990335261709</c:v>
                </c:pt>
                <c:pt idx="16">
                  <c:v>6.813250781181571</c:v>
                </c:pt>
                <c:pt idx="17">
                  <c:v>5.1148736535628094</c:v>
                </c:pt>
                <c:pt idx="18">
                  <c:v>4.1557285897305203</c:v>
                </c:pt>
                <c:pt idx="19">
                  <c:v>3.5380762813898294</c:v>
                </c:pt>
                <c:pt idx="20">
                  <c:v>3.4243333701825005</c:v>
                </c:pt>
                <c:pt idx="21">
                  <c:v>3.3494366175166101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54-424F-AAB3-630DB757C2AC}"/>
            </c:ext>
          </c:extLst>
        </c:ser>
        <c:marker val="1"/>
        <c:axId val="123387264"/>
        <c:axId val="123384576"/>
      </c:lineChart>
      <c:dateAx>
        <c:axId val="123294464"/>
        <c:scaling>
          <c:orientation val="minMax"/>
          <c:min val="39083"/>
        </c:scaling>
        <c:axPos val="b"/>
        <c:numFmt formatCode="yyyy" sourceLinked="0"/>
        <c:tickLblPos val="low"/>
        <c:spPr>
          <a:ln w="3175">
            <a:solidFill>
              <a:srgbClr val="898D8D"/>
            </a:solidFill>
            <a:prstDash val="solid"/>
          </a:ln>
        </c:spPr>
        <c:txPr>
          <a:bodyPr rot="-5400000" vert="horz"/>
          <a:lstStyle/>
          <a:p>
            <a:pPr>
              <a:defRPr lang="en-US" sz="900" b="0" i="0"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123296000"/>
        <c:crosses val="autoZero"/>
        <c:lblOffset val="100"/>
        <c:baseTimeUnit val="years"/>
        <c:majorUnit val="1"/>
        <c:majorTimeUnit val="years"/>
        <c:minorUnit val="1"/>
      </c:dateAx>
      <c:valAx>
        <c:axId val="123296000"/>
        <c:scaling>
          <c:orientation val="minMax"/>
          <c:max val="68"/>
          <c:min val="48"/>
        </c:scaling>
        <c:axPos val="l"/>
        <c:majorGridlines>
          <c:spPr>
            <a:ln>
              <a:solidFill>
                <a:srgbClr val="BFBFBF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lang="en-US"/>
                </a:pPr>
                <a:r>
                  <a:rPr lang="hu-HU"/>
                  <a:t>%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8.7760493827160502E-2"/>
              <c:y val="2.2436496805360792E-3"/>
            </c:manualLayout>
          </c:layout>
        </c:title>
        <c:numFmt formatCode="General" sourceLinked="0"/>
        <c:tickLblPos val="nextTo"/>
        <c:spPr>
          <a:ln w="3175">
            <a:solidFill>
              <a:srgbClr val="898D8D"/>
            </a:solidFill>
            <a:prstDash val="solid"/>
          </a:ln>
        </c:spPr>
        <c:txPr>
          <a:bodyPr/>
          <a:lstStyle/>
          <a:p>
            <a:pPr>
              <a:defRPr lang="en-US" sz="900" b="0" i="0"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123294464"/>
        <c:crosses val="autoZero"/>
        <c:crossBetween val="between"/>
        <c:majorUnit val="4"/>
      </c:valAx>
      <c:valAx>
        <c:axId val="123384576"/>
        <c:scaling>
          <c:orientation val="minMax"/>
          <c:max val="12"/>
          <c:min val="2"/>
        </c:scaling>
        <c:axPos val="r"/>
        <c:title>
          <c:tx>
            <c:rich>
              <a:bodyPr rot="0" vert="horz"/>
              <a:lstStyle/>
              <a:p>
                <a:pPr>
                  <a:defRPr lang="en-US"/>
                </a:pPr>
                <a:r>
                  <a:rPr lang="hu-HU"/>
                  <a:t>%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85666018518518561"/>
              <c:y val="4.2765310892945111E-3"/>
            </c:manualLayout>
          </c:layout>
        </c:title>
        <c:numFmt formatCode="General" sourceLinked="0"/>
        <c:tickLblPos val="nextTo"/>
        <c:spPr>
          <a:ln w="3175">
            <a:solidFill>
              <a:srgbClr val="898D8D"/>
            </a:solidFill>
            <a:prstDash val="solid"/>
          </a:ln>
        </c:spPr>
        <c:txPr>
          <a:bodyPr/>
          <a:lstStyle/>
          <a:p>
            <a:pPr>
              <a:defRPr lang="en-US" sz="900" b="0" i="0"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123387264"/>
        <c:crosses val="max"/>
        <c:crossBetween val="between"/>
        <c:majorUnit val="2"/>
      </c:valAx>
      <c:dateAx>
        <c:axId val="123387264"/>
        <c:scaling>
          <c:orientation val="minMax"/>
        </c:scaling>
        <c:delete val="1"/>
        <c:axPos val="b"/>
        <c:numFmt formatCode="yyyy/mm/dd" sourceLinked="1"/>
        <c:tickLblPos val="none"/>
        <c:crossAx val="123384576"/>
        <c:crosses val="autoZero"/>
        <c:auto val="1"/>
        <c:lblOffset val="100"/>
        <c:baseTimeUnit val="years"/>
      </c:dateAx>
      <c:spPr>
        <a:pattFill>
          <a:fgClr>
            <a:srgbClr val="FFFFFF"/>
          </a:fgClr>
          <a:bgClr>
            <a:srgbClr val="FFFFFF"/>
          </a:bgClr>
        </a:pattFill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334622876733675"/>
          <c:w val="1"/>
          <c:h val="0.16653771232663239"/>
        </c:manualLayout>
      </c:layout>
      <c:txPr>
        <a:bodyPr/>
        <a:lstStyle/>
        <a:p>
          <a:pPr>
            <a:defRPr lang="en-US"/>
          </a:pPr>
          <a:endParaRPr lang="hu-HU"/>
        </a:p>
      </c:txPr>
    </c:legend>
    <c:plotVisOnly val="1"/>
    <c:dispBlanksAs val="gap"/>
  </c:chart>
  <c:spPr>
    <a:solidFill>
      <a:srgbClr val="FFFFFF"/>
    </a:solidFill>
    <a:ln w="25400">
      <a:noFill/>
    </a:ln>
  </c:spPr>
  <c:txPr>
    <a:bodyPr/>
    <a:lstStyle/>
    <a:p>
      <a:pPr>
        <a:defRPr sz="900" b="0" i="0">
          <a:solidFill>
            <a:srgbClr val="000000"/>
          </a:solidFill>
          <a:latin typeface="Calibri"/>
          <a:ea typeface="Calibri"/>
          <a:cs typeface="Calibri"/>
        </a:defRPr>
      </a:pPr>
      <a:endParaRPr lang="hu-H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>
        <c:manualLayout>
          <c:layoutTarget val="inner"/>
          <c:xMode val="edge"/>
          <c:yMode val="edge"/>
          <c:x val="7.5921527777777789E-2"/>
          <c:y val="7.7875868055555561E-2"/>
          <c:w val="0.8538659722222226"/>
          <c:h val="0.57718489583333343"/>
        </c:manualLayout>
      </c:layout>
      <c:barChart>
        <c:barDir val="col"/>
        <c:grouping val="clustered"/>
        <c:ser>
          <c:idx val="1"/>
          <c:order val="0"/>
          <c:tx>
            <c:strRef>
              <c:f>'c1-15'!$C$13</c:f>
              <c:strCache>
                <c:ptCount val="1"/>
                <c:pt idx="0">
                  <c:v>Pénzügyi megtakarítási ráta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Pt>
            <c:idx val="14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CCA-4433-9C2E-FDD9EC6BA7CE}"/>
              </c:ext>
            </c:extLst>
          </c:dPt>
          <c:dPt>
            <c:idx val="15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5F-4081-A53F-354A4D58DD4D}"/>
              </c:ext>
            </c:extLst>
          </c:dPt>
          <c:dPt>
            <c:idx val="16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65F-4081-A53F-354A4D58DD4D}"/>
              </c:ext>
            </c:extLst>
          </c:dPt>
          <c:cat>
            <c:numRef>
              <c:f>'c1-15'!$A$22:$A$40</c:f>
              <c:numCache>
                <c:formatCode>General</c:formatCode>
                <c:ptCount val="19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  <c:pt idx="17">
                  <c:v>2019</c:v>
                </c:pt>
                <c:pt idx="18">
                  <c:v>2020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'c1-15'!$A$20:$A$40</c15:sqref>
                  </c15:fullRef>
                </c:ext>
              </c:extLst>
            </c:numRef>
          </c:cat>
          <c:val>
            <c:numRef>
              <c:f>'c1-15'!$C$22:$C$40</c:f>
              <c:numCache>
                <c:formatCode>0.0</c:formatCode>
                <c:ptCount val="19"/>
                <c:pt idx="0">
                  <c:v>3.0754911363083637</c:v>
                </c:pt>
                <c:pt idx="1">
                  <c:v>-0.27369320870108926</c:v>
                </c:pt>
                <c:pt idx="2">
                  <c:v>2.4216076839784617</c:v>
                </c:pt>
                <c:pt idx="3">
                  <c:v>3.9394252552400677</c:v>
                </c:pt>
                <c:pt idx="4">
                  <c:v>2.9790549068815277</c:v>
                </c:pt>
                <c:pt idx="5">
                  <c:v>0.45933480908947333</c:v>
                </c:pt>
                <c:pt idx="6">
                  <c:v>-0.33163001943815035</c:v>
                </c:pt>
                <c:pt idx="7">
                  <c:v>3.0967176985099374</c:v>
                </c:pt>
                <c:pt idx="8">
                  <c:v>5.3297391981493911</c:v>
                </c:pt>
                <c:pt idx="9">
                  <c:v>8.9005226529492614</c:v>
                </c:pt>
                <c:pt idx="10">
                  <c:v>7.189138993783577</c:v>
                </c:pt>
                <c:pt idx="11">
                  <c:v>8.3574333591426537</c:v>
                </c:pt>
                <c:pt idx="12">
                  <c:v>9.2277927880242387</c:v>
                </c:pt>
                <c:pt idx="13">
                  <c:v>9.8781001995569717</c:v>
                </c:pt>
                <c:pt idx="14">
                  <c:v>8.010453928785779</c:v>
                </c:pt>
                <c:pt idx="15">
                  <c:v>8.9683403274758007</c:v>
                </c:pt>
                <c:pt idx="16">
                  <c:v>9.5088839657753184</c:v>
                </c:pt>
                <c:pt idx="17">
                  <c:v>8.8499701316178019</c:v>
                </c:pt>
                <c:pt idx="18">
                  <c:v>8.6987101170296661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'c1-15'!$C$20:$C$40</c15:sqref>
                  </c15:fullRef>
                </c:ext>
              </c:extLst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6B9-429E-A69F-7E8BE0BFBDB3}"/>
            </c:ext>
          </c:extLst>
        </c:ser>
        <c:gapWidth val="40"/>
        <c:axId val="130537344"/>
        <c:axId val="130654976"/>
      </c:barChart>
      <c:lineChart>
        <c:grouping val="standard"/>
        <c:ser>
          <c:idx val="2"/>
          <c:order val="1"/>
          <c:tx>
            <c:strRef>
              <c:f>'c1-15'!$D$13</c:f>
              <c:strCache>
                <c:ptCount val="1"/>
                <c:pt idx="0">
                  <c:v>Beruházási ráta</c:v>
                </c:pt>
              </c:strCache>
            </c:strRef>
          </c:tx>
          <c:spPr>
            <a:ln w="28575">
              <a:solidFill>
                <a:schemeClr val="tx2"/>
              </a:solidFill>
              <a:prstDash val="solid"/>
            </a:ln>
          </c:spPr>
          <c:marker>
            <c:symbol val="circle"/>
            <c:size val="6"/>
            <c:spPr>
              <a:solidFill>
                <a:schemeClr val="bg1"/>
              </a:solidFill>
              <a:ln w="15875">
                <a:solidFill>
                  <a:schemeClr val="tx2"/>
                </a:solidFill>
              </a:ln>
            </c:spPr>
          </c:marker>
          <c:cat>
            <c:numRef>
              <c:f>'c1-15'!$A$22:$A$40</c:f>
              <c:numCache>
                <c:formatCode>General</c:formatCode>
                <c:ptCount val="19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  <c:pt idx="17">
                  <c:v>2019</c:v>
                </c:pt>
                <c:pt idx="18">
                  <c:v>2020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'c1-15'!$A$20:$A$40</c15:sqref>
                  </c15:fullRef>
                </c:ext>
              </c:extLst>
            </c:numRef>
          </c:cat>
          <c:val>
            <c:numRef>
              <c:f>'c1-15'!$D$22:$D$40</c:f>
              <c:numCache>
                <c:formatCode>0.0</c:formatCode>
                <c:ptCount val="19"/>
                <c:pt idx="0">
                  <c:v>8.869597199394855</c:v>
                </c:pt>
                <c:pt idx="1">
                  <c:v>9.3300313383445737</c:v>
                </c:pt>
                <c:pt idx="2">
                  <c:v>9.8574557919266486</c:v>
                </c:pt>
                <c:pt idx="3">
                  <c:v>8.2973361766237161</c:v>
                </c:pt>
                <c:pt idx="4">
                  <c:v>7.2448571351000535</c:v>
                </c:pt>
                <c:pt idx="5">
                  <c:v>7.9641530070186102</c:v>
                </c:pt>
                <c:pt idx="6">
                  <c:v>8.5424409447525687</c:v>
                </c:pt>
                <c:pt idx="7">
                  <c:v>8.2405626977581115</c:v>
                </c:pt>
                <c:pt idx="8">
                  <c:v>6.5933453771624153</c:v>
                </c:pt>
                <c:pt idx="9">
                  <c:v>3.8601812329154961</c:v>
                </c:pt>
                <c:pt idx="10">
                  <c:v>3.2695292996583638</c:v>
                </c:pt>
                <c:pt idx="11">
                  <c:v>4.6206725623079343</c:v>
                </c:pt>
                <c:pt idx="12">
                  <c:v>4.3076944568303759</c:v>
                </c:pt>
                <c:pt idx="13">
                  <c:v>4.2946162694625754</c:v>
                </c:pt>
                <c:pt idx="14">
                  <c:v>5.4207396318873906</c:v>
                </c:pt>
                <c:pt idx="15">
                  <c:v>5.3957568324093472</c:v>
                </c:pt>
                <c:pt idx="16">
                  <c:v>5.7879220854439852</c:v>
                </c:pt>
                <c:pt idx="17">
                  <c:v>6.2115512609319357</c:v>
                </c:pt>
                <c:pt idx="18">
                  <c:v>5.7800519378376372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'c1-15'!$D$20:$D$40</c15:sqref>
                  </c15:fullRef>
                </c:ext>
              </c:extLst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6B9-429E-A69F-7E8BE0BFBDB3}"/>
            </c:ext>
          </c:extLst>
        </c:ser>
        <c:marker val="1"/>
        <c:axId val="130537344"/>
        <c:axId val="130654976"/>
      </c:lineChart>
      <c:lineChart>
        <c:grouping val="standard"/>
        <c:ser>
          <c:idx val="0"/>
          <c:order val="2"/>
          <c:tx>
            <c:strRef>
              <c:f>'c1-15'!$B$13</c:f>
              <c:strCache>
                <c:ptCount val="1"/>
                <c:pt idx="0">
                  <c:v>Fogyasztási ráta (jobb tengely)</c:v>
                </c:pt>
              </c:strCache>
            </c:strRef>
          </c:tx>
          <c:spPr>
            <a:ln w="28575">
              <a:solidFill>
                <a:schemeClr val="accent1"/>
              </a:solidFill>
            </a:ln>
          </c:spPr>
          <c:marker>
            <c:symbol val="none"/>
          </c:marker>
          <c:dPt>
            <c:idx val="14"/>
            <c:spPr>
              <a:ln w="28575">
                <a:solidFill>
                  <a:schemeClr val="accent1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1CCA-4433-9C2E-FDD9EC6BA7CE}"/>
              </c:ext>
            </c:extLst>
          </c:dPt>
          <c:dPt>
            <c:idx val="15"/>
            <c:spPr>
              <a:ln w="28575">
                <a:solidFill>
                  <a:schemeClr val="accent1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A65F-4081-A53F-354A4D58DD4D}"/>
              </c:ext>
            </c:extLst>
          </c:dPt>
          <c:dPt>
            <c:idx val="16"/>
            <c:spPr>
              <a:ln w="28575">
                <a:solidFill>
                  <a:schemeClr val="accent1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A65F-4081-A53F-354A4D58DD4D}"/>
              </c:ext>
            </c:extLst>
          </c:dPt>
          <c:cat>
            <c:numRef>
              <c:f>'c1-15'!$A$22:$A$39</c:f>
              <c:numCache>
                <c:formatCode>General</c:formatCode>
                <c:ptCount val="18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  <c:pt idx="17">
                  <c:v>2019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'c1-15'!$A$20:$A$39</c15:sqref>
                  </c15:fullRef>
                </c:ext>
              </c:extLst>
            </c:numRef>
          </c:cat>
          <c:val>
            <c:numRef>
              <c:f>'c1-15'!$B$22:$B$40</c:f>
              <c:numCache>
                <c:formatCode>0.0</c:formatCode>
                <c:ptCount val="19"/>
                <c:pt idx="0">
                  <c:v>88.054911664296796</c:v>
                </c:pt>
                <c:pt idx="1">
                  <c:v>90.943661870356522</c:v>
                </c:pt>
                <c:pt idx="2">
                  <c:v>87.720936524094839</c:v>
                </c:pt>
                <c:pt idx="3">
                  <c:v>87.763238568136217</c:v>
                </c:pt>
                <c:pt idx="4">
                  <c:v>89.776087958018408</c:v>
                </c:pt>
                <c:pt idx="5">
                  <c:v>91.576512183891836</c:v>
                </c:pt>
                <c:pt idx="6">
                  <c:v>91.789189074685581</c:v>
                </c:pt>
                <c:pt idx="7">
                  <c:v>88.662719603731901</c:v>
                </c:pt>
                <c:pt idx="8">
                  <c:v>88.076915424688181</c:v>
                </c:pt>
                <c:pt idx="9">
                  <c:v>87.239296114135271</c:v>
                </c:pt>
                <c:pt idx="10">
                  <c:v>89.541331706558026</c:v>
                </c:pt>
                <c:pt idx="11">
                  <c:v>87.021894078549408</c:v>
                </c:pt>
                <c:pt idx="12">
                  <c:v>86.464512755145435</c:v>
                </c:pt>
                <c:pt idx="13">
                  <c:v>85.827283530980452</c:v>
                </c:pt>
                <c:pt idx="14">
                  <c:v>86.568806439326792</c:v>
                </c:pt>
                <c:pt idx="15">
                  <c:v>85.635902840114767</c:v>
                </c:pt>
                <c:pt idx="16">
                  <c:v>84.703193948780722</c:v>
                </c:pt>
                <c:pt idx="17">
                  <c:v>84.938478607450179</c:v>
                </c:pt>
                <c:pt idx="18">
                  <c:v>85.521237945132697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'c1-15'!$B$20:$B$40</c15:sqref>
                  </c15:fullRef>
                </c:ext>
              </c:extLst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86B9-429E-A69F-7E8BE0BFBDB3}"/>
            </c:ext>
          </c:extLst>
        </c:ser>
        <c:marker val="1"/>
        <c:axId val="134289664"/>
        <c:axId val="130656512"/>
      </c:lineChart>
      <c:catAx>
        <c:axId val="1305373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898D8D"/>
            </a:solidFill>
            <a:prstDash val="solid"/>
          </a:ln>
        </c:spPr>
        <c:txPr>
          <a:bodyPr rot="-5400000" vert="horz"/>
          <a:lstStyle/>
          <a:p>
            <a:pPr>
              <a:defRPr lang="en-US" sz="900" b="0" i="0"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130654976"/>
        <c:crosses val="autoZero"/>
        <c:auto val="1"/>
        <c:lblAlgn val="ctr"/>
        <c:lblOffset val="100"/>
        <c:tickLblSkip val="1"/>
      </c:catAx>
      <c:valAx>
        <c:axId val="130654976"/>
        <c:scaling>
          <c:orientation val="minMax"/>
          <c:max val="12"/>
          <c:min val="-2"/>
        </c:scaling>
        <c:axPos val="l"/>
        <c:majorGridlines>
          <c:spPr>
            <a:ln>
              <a:solidFill>
                <a:srgbClr val="BFBFBF"/>
              </a:solidFill>
              <a:prstDash val="sysDash"/>
            </a:ln>
          </c:spPr>
        </c:majorGridlines>
        <c:numFmt formatCode="0" sourceLinked="0"/>
        <c:tickLblPos val="nextTo"/>
        <c:spPr>
          <a:ln w="3175">
            <a:solidFill>
              <a:srgbClr val="898D8D"/>
            </a:solidFill>
            <a:prstDash val="solid"/>
          </a:ln>
        </c:spPr>
        <c:txPr>
          <a:bodyPr/>
          <a:lstStyle/>
          <a:p>
            <a:pPr>
              <a:defRPr lang="en-US" sz="900" b="0" i="0"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130537344"/>
        <c:crosses val="autoZero"/>
        <c:crossBetween val="between"/>
        <c:majorUnit val="2"/>
      </c:valAx>
      <c:valAx>
        <c:axId val="130656512"/>
        <c:scaling>
          <c:orientation val="minMax"/>
          <c:max val="94"/>
          <c:min val="80"/>
        </c:scaling>
        <c:axPos val="r"/>
        <c:numFmt formatCode="0" sourceLinked="0"/>
        <c:tickLblPos val="nextTo"/>
        <c:spPr>
          <a:noFill/>
          <a:ln w="3175">
            <a:solidFill>
              <a:srgbClr val="898D8D"/>
            </a:solidFill>
            <a:prstDash val="solid"/>
          </a:ln>
        </c:spPr>
        <c:txPr>
          <a:bodyPr/>
          <a:lstStyle/>
          <a:p>
            <a:pPr>
              <a:defRPr lang="en-US" sz="900" b="0" i="0"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134289664"/>
        <c:crosses val="max"/>
        <c:crossBetween val="between"/>
        <c:majorUnit val="2"/>
      </c:valAx>
      <c:catAx>
        <c:axId val="134289664"/>
        <c:scaling>
          <c:orientation val="minMax"/>
        </c:scaling>
        <c:delete val="1"/>
        <c:axPos val="b"/>
        <c:numFmt formatCode="General" sourceLinked="1"/>
        <c:tickLblPos val="none"/>
        <c:crossAx val="130656512"/>
        <c:crosses val="autoZero"/>
        <c:auto val="1"/>
        <c:lblAlgn val="ctr"/>
        <c:lblOffset val="100"/>
      </c:catAx>
      <c:spPr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0650781250000103"/>
          <c:w val="1"/>
          <c:h val="0.19345789930555538"/>
        </c:manualLayout>
      </c:layout>
      <c:txPr>
        <a:bodyPr/>
        <a:lstStyle/>
        <a:p>
          <a:pPr>
            <a:defRPr lang="en-US"/>
          </a:pPr>
          <a:endParaRPr lang="hu-HU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900" b="0" i="0">
          <a:solidFill>
            <a:srgbClr val="000000"/>
          </a:solidFill>
          <a:latin typeface="Calibri"/>
          <a:ea typeface="Calibri"/>
          <a:cs typeface="Calibri"/>
        </a:defRPr>
      </a:pPr>
      <a:endParaRPr lang="hu-H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>
        <c:manualLayout>
          <c:layoutTarget val="inner"/>
          <c:xMode val="edge"/>
          <c:yMode val="edge"/>
          <c:x val="8.7587037037037033E-2"/>
          <c:y val="7.6398611111111403E-2"/>
          <c:w val="0.88007500000000005"/>
          <c:h val="0.56381111111111115"/>
        </c:manualLayout>
      </c:layout>
      <c:areaChart>
        <c:grouping val="stacked"/>
        <c:ser>
          <c:idx val="2"/>
          <c:order val="1"/>
          <c:tx>
            <c:strRef>
              <c:f>'c1-20'!$D$9</c:f>
              <c:strCache>
                <c:ptCount val="1"/>
                <c:pt idx="0">
                  <c:v>Adminisztratív intézkedések* hatása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>
                  <a:lumMod val="60000"/>
                  <a:lumOff val="40000"/>
                </a:schemeClr>
              </a:solidFill>
            </a:ln>
            <a:effectLst/>
          </c:spPr>
          <c:cat>
            <c:numRef>
              <c:f>'c1-20'!$A$12:$A$25</c:f>
              <c:numCache>
                <c:formatCode>yyyy</c:formatCode>
                <c:ptCount val="14"/>
                <c:pt idx="0">
                  <c:v>39083</c:v>
                </c:pt>
                <c:pt idx="1">
                  <c:v>39448</c:v>
                </c:pt>
                <c:pt idx="2">
                  <c:v>39814</c:v>
                </c:pt>
                <c:pt idx="3">
                  <c:v>40179</c:v>
                </c:pt>
                <c:pt idx="4">
                  <c:v>40544</c:v>
                </c:pt>
                <c:pt idx="5">
                  <c:v>40909</c:v>
                </c:pt>
                <c:pt idx="6">
                  <c:v>41275</c:v>
                </c:pt>
                <c:pt idx="7">
                  <c:v>41640</c:v>
                </c:pt>
                <c:pt idx="8">
                  <c:v>42005</c:v>
                </c:pt>
                <c:pt idx="9">
                  <c:v>42370</c:v>
                </c:pt>
                <c:pt idx="10">
                  <c:v>42736</c:v>
                </c:pt>
                <c:pt idx="11">
                  <c:v>43101</c:v>
                </c:pt>
                <c:pt idx="12">
                  <c:v>43466</c:v>
                </c:pt>
                <c:pt idx="13">
                  <c:v>43831</c:v>
                </c:pt>
              </c:numCache>
            </c:numRef>
          </c:cat>
          <c:val>
            <c:numRef>
              <c:f>'c1-20'!$D$12:$D$25</c:f>
              <c:numCache>
                <c:formatCode>0.0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1.9410098144476677</c:v>
                </c:pt>
                <c:pt idx="5">
                  <c:v>3.8699690230284194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5.0360344886113104</c:v>
                </c:pt>
                <c:pt idx="11">
                  <c:v>3.1186181522935477</c:v>
                </c:pt>
                <c:pt idx="12">
                  <c:v>0.98196874659241917</c:v>
                </c:pt>
                <c:pt idx="1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513-4847-A2DB-C40998C86FA1}"/>
            </c:ext>
          </c:extLst>
        </c:ser>
        <c:axId val="181083136"/>
        <c:axId val="181118464"/>
      </c:areaChart>
      <c:lineChart>
        <c:grouping val="standard"/>
        <c:ser>
          <c:idx val="0"/>
          <c:order val="0"/>
          <c:tx>
            <c:strRef>
              <c:f>'c1-20'!$B$9</c:f>
              <c:strCache>
                <c:ptCount val="1"/>
                <c:pt idx="0">
                  <c:v>Versenyszféra bérdinamika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15875">
                <a:solidFill>
                  <a:schemeClr val="accent3"/>
                </a:solidFill>
              </a:ln>
              <a:effectLst/>
            </c:spPr>
          </c:marker>
          <c:cat>
            <c:numRef>
              <c:f>'c1-20'!$A$12:$A$25</c:f>
              <c:numCache>
                <c:formatCode>yyyy</c:formatCode>
                <c:ptCount val="14"/>
                <c:pt idx="0">
                  <c:v>39083</c:v>
                </c:pt>
                <c:pt idx="1">
                  <c:v>39448</c:v>
                </c:pt>
                <c:pt idx="2">
                  <c:v>39814</c:v>
                </c:pt>
                <c:pt idx="3">
                  <c:v>40179</c:v>
                </c:pt>
                <c:pt idx="4">
                  <c:v>40544</c:v>
                </c:pt>
                <c:pt idx="5">
                  <c:v>40909</c:v>
                </c:pt>
                <c:pt idx="6">
                  <c:v>41275</c:v>
                </c:pt>
                <c:pt idx="7">
                  <c:v>41640</c:v>
                </c:pt>
                <c:pt idx="8">
                  <c:v>42005</c:v>
                </c:pt>
                <c:pt idx="9">
                  <c:v>42370</c:v>
                </c:pt>
                <c:pt idx="10">
                  <c:v>42736</c:v>
                </c:pt>
                <c:pt idx="11">
                  <c:v>43101</c:v>
                </c:pt>
                <c:pt idx="12">
                  <c:v>43466</c:v>
                </c:pt>
                <c:pt idx="13">
                  <c:v>43831</c:v>
                </c:pt>
              </c:numCache>
            </c:numRef>
          </c:cat>
          <c:val>
            <c:numRef>
              <c:f>'c1-20'!$B$12:$B$25</c:f>
              <c:numCache>
                <c:formatCode>0.0</c:formatCode>
                <c:ptCount val="14"/>
                <c:pt idx="0">
                  <c:v>9.2051833350169527</c:v>
                </c:pt>
                <c:pt idx="1">
                  <c:v>8.2858068545187251</c:v>
                </c:pt>
                <c:pt idx="2">
                  <c:v>4.2918246498929875</c:v>
                </c:pt>
                <c:pt idx="3">
                  <c:v>3.2023243669359767</c:v>
                </c:pt>
                <c:pt idx="4">
                  <c:v>5.3778823825171003</c:v>
                </c:pt>
                <c:pt idx="5">
                  <c:v>7.2952457051537882</c:v>
                </c:pt>
                <c:pt idx="6">
                  <c:v>3.586663873103856</c:v>
                </c:pt>
                <c:pt idx="7">
                  <c:v>4.2851835671852383</c:v>
                </c:pt>
                <c:pt idx="8">
                  <c:v>3.9737307800777031</c:v>
                </c:pt>
                <c:pt idx="9">
                  <c:v>5.4129300707198755</c:v>
                </c:pt>
                <c:pt idx="10">
                  <c:v>11.580303240058001</c:v>
                </c:pt>
                <c:pt idx="11">
                  <c:v>9.9595100820002322</c:v>
                </c:pt>
                <c:pt idx="12">
                  <c:v>8.1819687465923963</c:v>
                </c:pt>
                <c:pt idx="13">
                  <c:v>7.3351849455691855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513-4847-A2DB-C40998C86FA1}"/>
            </c:ext>
          </c:extLst>
        </c:ser>
        <c:marker val="1"/>
        <c:axId val="181083136"/>
        <c:axId val="181118464"/>
      </c:lineChart>
      <c:dateAx>
        <c:axId val="18108313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r>
                  <a:rPr lang="hu-HU"/>
                  <a:t>%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8.2859953703703693E-2"/>
              <c:y val="2.7256944444444616E-3"/>
            </c:manualLayout>
          </c:layout>
          <c:spPr>
            <a:noFill/>
            <a:ln>
              <a:noFill/>
            </a:ln>
            <a:effectLst/>
          </c:spPr>
        </c:title>
        <c:numFmt formatCode="yyyy" sourceLinked="1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lang="en-US"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hu-HU"/>
          </a:p>
        </c:txPr>
        <c:crossAx val="181118464"/>
        <c:crosses val="autoZero"/>
        <c:auto val="1"/>
        <c:lblOffset val="100"/>
        <c:baseTimeUnit val="years"/>
      </c:dateAx>
      <c:valAx>
        <c:axId val="181118464"/>
        <c:scaling>
          <c:orientation val="minMax"/>
          <c:max val="12"/>
        </c:scaling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sysDash"/>
              <a:round/>
            </a:ln>
            <a:effectLst/>
          </c:spPr>
        </c:majorGridlines>
        <c:numFmt formatCode="0" sourceLinked="0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hu-HU"/>
          </a:p>
        </c:txPr>
        <c:crossAx val="18108313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388888888888878E-3"/>
          <c:y val="0.79710590277777782"/>
          <c:w val="0.99616111111111116"/>
          <c:h val="0.2028940972222226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hu-H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Calibri" panose="020F0502020204030204" pitchFamily="34" charset="0"/>
        </a:defRPr>
      </a:pPr>
      <a:endParaRPr lang="hu-H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0.06431</cdr:x>
      <cdr:y>0</cdr:y>
    </cdr:from>
    <cdr:to>
      <cdr:x>0.31199</cdr:x>
      <cdr:y>0.06774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748D6AF1-186C-4850-9B02-0CFD7B94BC93}"/>
            </a:ext>
          </a:extLst>
        </cdr:cNvPr>
        <cdr:cNvSpPr txBox="1"/>
      </cdr:nvSpPr>
      <cdr:spPr>
        <a:xfrm xmlns:a="http://schemas.openxmlformats.org/drawingml/2006/main">
          <a:off x="194464" y="0"/>
          <a:ext cx="748996" cy="1560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u-HU" sz="900" b="0">
              <a:latin typeface="Calibri" panose="020F0502020204030204" pitchFamily="34" charset="0"/>
            </a:rPr>
            <a:t>százalék</a:t>
          </a:r>
        </a:p>
      </cdr:txBody>
    </cdr:sp>
  </cdr:relSizeAnchor>
  <cdr:relSizeAnchor xmlns:cdr="http://schemas.openxmlformats.org/drawingml/2006/chartDrawing">
    <cdr:from>
      <cdr:x>0.75595</cdr:x>
      <cdr:y>0.07854</cdr:y>
    </cdr:from>
    <cdr:to>
      <cdr:x>0.7591</cdr:x>
      <cdr:y>0.70279</cdr:y>
    </cdr:to>
    <cdr:cxnSp macro="">
      <cdr:nvCxnSpPr>
        <cdr:cNvPr id="3" name="Straight Connector 2">
          <a:extLst xmlns:a="http://schemas.openxmlformats.org/drawingml/2006/main">
            <a:ext uri="{FF2B5EF4-FFF2-40B4-BE49-F238E27FC236}">
              <a16:creationId xmlns:a16="http://schemas.microsoft.com/office/drawing/2014/main" xmlns="" id="{1453FAB7-84E0-4E0D-BF39-4156E9AD91D6}"/>
            </a:ext>
          </a:extLst>
        </cdr:cNvPr>
        <cdr:cNvCxnSpPr/>
      </cdr:nvCxnSpPr>
      <cdr:spPr>
        <a:xfrm xmlns:a="http://schemas.openxmlformats.org/drawingml/2006/main">
          <a:off x="2285997" y="180966"/>
          <a:ext cx="9526" cy="1438272"/>
        </a:xfrm>
        <a:prstGeom xmlns:a="http://schemas.openxmlformats.org/drawingml/2006/main" prst="line">
          <a:avLst/>
        </a:prstGeom>
        <a:ln xmlns:a="http://schemas.openxmlformats.org/drawingml/2006/main" w="9525">
          <a:solidFill>
            <a:schemeClr val="tx1">
              <a:lumMod val="50000"/>
              <a:lumOff val="50000"/>
            </a:schemeClr>
          </a:solidFill>
          <a:prstDash val="soli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0.74587</cdr:x>
      <cdr:y>0.08323</cdr:y>
    </cdr:from>
    <cdr:to>
      <cdr:x>0.74587</cdr:x>
      <cdr:y>0.69606</cdr:y>
    </cdr:to>
    <cdr:sp macro="" textlink="">
      <cdr:nvSpPr>
        <cdr:cNvPr id="2" name="Straight Connector 1">
          <a:extLst xmlns:a="http://schemas.openxmlformats.org/drawingml/2006/main">
            <a:ext uri="{FF2B5EF4-FFF2-40B4-BE49-F238E27FC236}">
              <a16:creationId xmlns:a16="http://schemas.microsoft.com/office/drawing/2014/main" xmlns="" id="{8F0354C4-E5A8-45FD-9411-8DFC2A461CDF}"/>
            </a:ext>
          </a:extLst>
        </cdr:cNvPr>
        <cdr:cNvSpPr/>
      </cdr:nvSpPr>
      <cdr:spPr>
        <a:xfrm xmlns:a="http://schemas.openxmlformats.org/drawingml/2006/main" flipH="1" flipV="1">
          <a:off x="2255512" y="191758"/>
          <a:ext cx="0" cy="141196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chemeClr val="tx2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hu-H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0.06615</cdr:x>
      <cdr:y>0</cdr:y>
    </cdr:from>
    <cdr:to>
      <cdr:x>0.28663</cdr:x>
      <cdr:y>0.07276</cdr:y>
    </cdr:to>
    <cdr:sp macro="" textlink="">
      <cdr:nvSpPr>
        <cdr:cNvPr id="2" name="Szövegdoboz 1">
          <a:extLst xmlns:a="http://schemas.openxmlformats.org/drawingml/2006/main">
            <a:ext uri="{FF2B5EF4-FFF2-40B4-BE49-F238E27FC236}">
              <a16:creationId xmlns:a16="http://schemas.microsoft.com/office/drawing/2014/main" xmlns="" id="{A37AFBD7-B17D-431F-9279-5043CE272244}"/>
            </a:ext>
          </a:extLst>
        </cdr:cNvPr>
        <cdr:cNvSpPr txBox="1"/>
      </cdr:nvSpPr>
      <cdr:spPr>
        <a:xfrm xmlns:a="http://schemas.openxmlformats.org/drawingml/2006/main">
          <a:off x="200038" y="0"/>
          <a:ext cx="666731" cy="1676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u-HU" sz="900" b="0">
              <a:latin typeface="Calibri" panose="020F0502020204030204" pitchFamily="34" charset="0"/>
            </a:rPr>
            <a:t>%</a:t>
          </a:r>
        </a:p>
      </cdr:txBody>
    </cdr:sp>
  </cdr:relSizeAnchor>
  <cdr:relSizeAnchor xmlns:cdr="http://schemas.openxmlformats.org/drawingml/2006/chartDrawing">
    <cdr:from>
      <cdr:x>0.69327</cdr:x>
      <cdr:y>0</cdr:y>
    </cdr:from>
    <cdr:to>
      <cdr:x>0.92598</cdr:x>
      <cdr:y>0.07276</cdr:y>
    </cdr:to>
    <cdr:sp macro="" textlink="">
      <cdr:nvSpPr>
        <cdr:cNvPr id="3" name="Szövegdoboz 1">
          <a:extLst xmlns:a="http://schemas.openxmlformats.org/drawingml/2006/main">
            <a:ext uri="{FF2B5EF4-FFF2-40B4-BE49-F238E27FC236}">
              <a16:creationId xmlns:a16="http://schemas.microsoft.com/office/drawing/2014/main" xmlns="" id="{5F9CE3DB-5270-44B6-9796-B6F8C7D548BF}"/>
            </a:ext>
          </a:extLst>
        </cdr:cNvPr>
        <cdr:cNvSpPr txBox="1"/>
      </cdr:nvSpPr>
      <cdr:spPr>
        <a:xfrm xmlns:a="http://schemas.openxmlformats.org/drawingml/2006/main">
          <a:off x="2096452" y="0"/>
          <a:ext cx="703715" cy="1676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hu-HU" sz="900" b="0">
              <a:latin typeface="Calibri" panose="020F0502020204030204" pitchFamily="34" charset="0"/>
            </a:rPr>
            <a:t>%</a:t>
          </a:r>
        </a:p>
      </cdr:txBody>
    </cdr:sp>
  </cdr:relSizeAnchor>
  <cdr:relSizeAnchor xmlns:cdr="http://schemas.openxmlformats.org/drawingml/2006/chartDrawing">
    <cdr:from>
      <cdr:x>0.78685</cdr:x>
      <cdr:y>0.07855</cdr:y>
    </cdr:from>
    <cdr:to>
      <cdr:x>0.78685</cdr:x>
      <cdr:y>0.65349</cdr:y>
    </cdr:to>
    <cdr:cxnSp macro="">
      <cdr:nvCxnSpPr>
        <cdr:cNvPr id="6" name="Egyenes összekötő 5">
          <a:extLst xmlns:a="http://schemas.openxmlformats.org/drawingml/2006/main">
            <a:ext uri="{FF2B5EF4-FFF2-40B4-BE49-F238E27FC236}">
              <a16:creationId xmlns:a16="http://schemas.microsoft.com/office/drawing/2014/main" xmlns="" id="{4BDFCA42-1100-43F6-90DE-2BC31BD9F1F0}"/>
            </a:ext>
          </a:extLst>
        </cdr:cNvPr>
        <cdr:cNvCxnSpPr/>
      </cdr:nvCxnSpPr>
      <cdr:spPr>
        <a:xfrm xmlns:a="http://schemas.openxmlformats.org/drawingml/2006/main" flipV="1">
          <a:off x="2379426" y="180979"/>
          <a:ext cx="0" cy="1324662"/>
        </a:xfrm>
        <a:prstGeom xmlns:a="http://schemas.openxmlformats.org/drawingml/2006/main" prst="line">
          <a:avLst/>
        </a:prstGeom>
        <a:ln xmlns:a="http://schemas.openxmlformats.org/drawingml/2006/main" w="9525">
          <a:solidFill>
            <a:srgbClr val="898D8D"/>
          </a:solidFill>
          <a:prstDash val="soli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A106-9A49-4D25-8CF8-2C05AEF7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5265</TotalTime>
  <Pages>17</Pages>
  <Words>3767</Words>
  <Characters>26372</Characters>
  <Application>Microsoft Office Word</Application>
  <DocSecurity>0</DocSecurity>
  <Lines>507</Lines>
  <Paragraphs>121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167</cp:revision>
  <dcterms:created xsi:type="dcterms:W3CDTF">2018-09-20T14:53:00Z</dcterms:created>
  <dcterms:modified xsi:type="dcterms:W3CDTF">2018-09-24T15:32:00Z</dcterms:modified>
</cp:coreProperties>
</file>