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38" w:rsidRDefault="005F5D38" w:rsidP="005F5D38">
      <w:pPr>
        <w:jc w:val="center"/>
        <w:rPr>
          <w:b/>
        </w:rPr>
      </w:pPr>
      <w:r w:rsidRPr="005F5D38">
        <w:rPr>
          <w:b/>
        </w:rPr>
        <w:t xml:space="preserve">Szakszervezeti szempontok </w:t>
      </w:r>
      <w:r>
        <w:rPr>
          <w:b/>
        </w:rPr>
        <w:t>a magyarországi bérszint megíté</w:t>
      </w:r>
      <w:r w:rsidRPr="005F5D38">
        <w:rPr>
          <w:b/>
        </w:rPr>
        <w:t>léséhez</w:t>
      </w:r>
    </w:p>
    <w:p w:rsidR="005F5D38" w:rsidRDefault="005F5D38" w:rsidP="005F5D38">
      <w:pPr>
        <w:jc w:val="center"/>
        <w:rPr>
          <w:b/>
        </w:rPr>
      </w:pPr>
    </w:p>
    <w:p w:rsidR="005F5D38" w:rsidRPr="005F5D38" w:rsidRDefault="005F5D38" w:rsidP="005F5D38">
      <w:pPr>
        <w:jc w:val="center"/>
        <w:rPr>
          <w:b/>
        </w:rPr>
      </w:pPr>
    </w:p>
    <w:p w:rsidR="002E6B4B" w:rsidRPr="008522E2" w:rsidRDefault="002E6B4B" w:rsidP="008522E2">
      <w:pPr>
        <w:pStyle w:val="Listaszerbekezds"/>
        <w:numPr>
          <w:ilvl w:val="0"/>
          <w:numId w:val="5"/>
        </w:numPr>
        <w:rPr>
          <w:b/>
          <w:color w:val="FF0000"/>
        </w:rPr>
      </w:pPr>
      <w:r w:rsidRPr="008522E2">
        <w:rPr>
          <w:b/>
          <w:color w:val="FF0000"/>
        </w:rPr>
        <w:t>A szakszervezetek szempontjai a bérszínvonal és a bérek változásának megítélésénél:</w:t>
      </w:r>
    </w:p>
    <w:p w:rsidR="00B61FA9" w:rsidRPr="002E6B4B" w:rsidRDefault="00191038" w:rsidP="002E6B4B">
      <w:pPr>
        <w:numPr>
          <w:ilvl w:val="0"/>
          <w:numId w:val="4"/>
        </w:numPr>
        <w:rPr>
          <w:b/>
        </w:rPr>
      </w:pPr>
      <w:r w:rsidRPr="002E6B4B">
        <w:rPr>
          <w:b/>
        </w:rPr>
        <w:t>A megélhetési költségek alakulása</w:t>
      </w:r>
    </w:p>
    <w:p w:rsidR="00B61FA9" w:rsidRPr="002E6B4B" w:rsidRDefault="00191038" w:rsidP="002E6B4B">
      <w:pPr>
        <w:numPr>
          <w:ilvl w:val="0"/>
          <w:numId w:val="4"/>
        </w:numPr>
        <w:rPr>
          <w:b/>
        </w:rPr>
      </w:pPr>
      <w:r w:rsidRPr="002E6B4B">
        <w:rPr>
          <w:b/>
        </w:rPr>
        <w:t xml:space="preserve">A hazai </w:t>
      </w:r>
      <w:proofErr w:type="spellStart"/>
      <w:r w:rsidRPr="002E6B4B">
        <w:rPr>
          <w:b/>
        </w:rPr>
        <w:t>munkaerőpiaci</w:t>
      </w:r>
      <w:proofErr w:type="spellEnd"/>
      <w:r w:rsidRPr="002E6B4B">
        <w:rPr>
          <w:b/>
        </w:rPr>
        <w:t xml:space="preserve"> helyzet, a mobilitás nemzetközivé válása</w:t>
      </w:r>
    </w:p>
    <w:p w:rsidR="00B61FA9" w:rsidRPr="002E6B4B" w:rsidRDefault="00191038" w:rsidP="002E6B4B">
      <w:pPr>
        <w:numPr>
          <w:ilvl w:val="0"/>
          <w:numId w:val="4"/>
        </w:numPr>
        <w:rPr>
          <w:b/>
        </w:rPr>
      </w:pPr>
      <w:r w:rsidRPr="002E6B4B">
        <w:rPr>
          <w:b/>
        </w:rPr>
        <w:t xml:space="preserve">a jövedelem egyenlőtlenségek </w:t>
      </w:r>
      <w:r w:rsidR="002E6B4B">
        <w:rPr>
          <w:b/>
        </w:rPr>
        <w:t>alakulása</w:t>
      </w:r>
    </w:p>
    <w:p w:rsidR="00B61FA9" w:rsidRPr="002E6B4B" w:rsidRDefault="00191038" w:rsidP="002E6B4B">
      <w:pPr>
        <w:numPr>
          <w:ilvl w:val="0"/>
          <w:numId w:val="4"/>
        </w:numPr>
        <w:rPr>
          <w:b/>
        </w:rPr>
      </w:pPr>
      <w:r w:rsidRPr="002E6B4B">
        <w:rPr>
          <w:b/>
        </w:rPr>
        <w:t xml:space="preserve">a megtermelt hozzáadott értékből való részesedés </w:t>
      </w:r>
      <w:r w:rsidR="002E6B4B">
        <w:rPr>
          <w:b/>
        </w:rPr>
        <w:t>mértéke fő jövedelemtulajdonosok között (</w:t>
      </w:r>
      <w:proofErr w:type="spellStart"/>
      <w:r w:rsidR="002E6B4B">
        <w:rPr>
          <w:b/>
        </w:rPr>
        <w:t>munkavállalók-tőketulajdonosok-kormány</w:t>
      </w:r>
      <w:proofErr w:type="spellEnd"/>
      <w:r w:rsidR="002E6B4B">
        <w:rPr>
          <w:b/>
        </w:rPr>
        <w:t>)</w:t>
      </w:r>
    </w:p>
    <w:p w:rsidR="000B3300" w:rsidRPr="00DE32F2" w:rsidRDefault="006052EE" w:rsidP="000B3300">
      <w:pPr>
        <w:rPr>
          <w:b/>
        </w:rPr>
      </w:pPr>
      <w:r w:rsidRPr="003D1389">
        <w:rPr>
          <w:b/>
          <w:color w:val="FF0000"/>
          <w:u w:val="single"/>
        </w:rPr>
        <w:t xml:space="preserve">2. </w:t>
      </w:r>
      <w:r w:rsidR="000B3300" w:rsidRPr="003D1389">
        <w:rPr>
          <w:b/>
          <w:color w:val="FF0000"/>
        </w:rPr>
        <w:t xml:space="preserve">A </w:t>
      </w:r>
      <w:r w:rsidR="003D1389">
        <w:rPr>
          <w:b/>
          <w:color w:val="FF0000"/>
        </w:rPr>
        <w:t xml:space="preserve">szakszervezeti javaslatok </w:t>
      </w:r>
      <w:r w:rsidR="00A54F57">
        <w:rPr>
          <w:b/>
          <w:color w:val="FF0000"/>
        </w:rPr>
        <w:t xml:space="preserve">azt célozták, </w:t>
      </w:r>
      <w:proofErr w:type="gramStart"/>
      <w:r w:rsidR="00A54F57">
        <w:rPr>
          <w:b/>
          <w:color w:val="FF0000"/>
        </w:rPr>
        <w:t xml:space="preserve">hogy  </w:t>
      </w:r>
      <w:r w:rsidR="000B3300" w:rsidRPr="003D1389">
        <w:rPr>
          <w:b/>
        </w:rPr>
        <w:t>érdemi</w:t>
      </w:r>
      <w:proofErr w:type="gramEnd"/>
      <w:r w:rsidR="000B3300" w:rsidRPr="003D1389">
        <w:rPr>
          <w:b/>
        </w:rPr>
        <w:t xml:space="preserve"> elmozdulás</w:t>
      </w:r>
      <w:r w:rsidR="000B3300" w:rsidRPr="003D1389">
        <w:t xml:space="preserve"> </w:t>
      </w:r>
      <w:r w:rsidR="00A54F57">
        <w:t xml:space="preserve">történjen </w:t>
      </w:r>
      <w:r w:rsidR="000B3300" w:rsidRPr="003D1389">
        <w:t xml:space="preserve">az utóbbi </w:t>
      </w:r>
      <w:r w:rsidR="000B3300" w:rsidRPr="000B3300">
        <w:t xml:space="preserve">évek trendjétől, amely az inflációhoz igazított, vagy afelett 2-3%-kal beállított emeléseket jelentett </w:t>
      </w:r>
      <w:r w:rsidR="000B3300" w:rsidRPr="00DE32F2">
        <w:rPr>
          <w:b/>
        </w:rPr>
        <w:t>a minimális béreknél.</w:t>
      </w:r>
    </w:p>
    <w:p w:rsidR="002E6B4B" w:rsidRDefault="005963F6" w:rsidP="000B3300">
      <w:pPr>
        <w:rPr>
          <w:b/>
          <w:color w:val="FF0000"/>
        </w:rPr>
      </w:pPr>
      <w:r w:rsidRPr="003D1389">
        <w:rPr>
          <w:b/>
          <w:color w:val="FF0000"/>
          <w:u w:val="single"/>
        </w:rPr>
        <w:t>3</w:t>
      </w:r>
      <w:r w:rsidR="000B3300" w:rsidRPr="003D1389">
        <w:rPr>
          <w:b/>
          <w:color w:val="FF0000"/>
          <w:u w:val="single"/>
        </w:rPr>
        <w:t>.</w:t>
      </w:r>
      <w:r w:rsidR="000B3300" w:rsidRPr="003D1389">
        <w:rPr>
          <w:color w:val="FF0000"/>
        </w:rPr>
        <w:t xml:space="preserve"> </w:t>
      </w:r>
      <w:r w:rsidR="000B3300" w:rsidRPr="003D1389">
        <w:rPr>
          <w:b/>
          <w:color w:val="FF0000"/>
        </w:rPr>
        <w:t xml:space="preserve">A trend feletti </w:t>
      </w:r>
      <w:r w:rsidR="008522E2">
        <w:rPr>
          <w:b/>
          <w:color w:val="FF0000"/>
        </w:rPr>
        <w:t>bér</w:t>
      </w:r>
      <w:r w:rsidR="000B3300" w:rsidRPr="003D1389">
        <w:rPr>
          <w:b/>
          <w:color w:val="FF0000"/>
        </w:rPr>
        <w:t xml:space="preserve">emelés indokai </w:t>
      </w:r>
    </w:p>
    <w:p w:rsidR="000B3300" w:rsidRPr="000B3300" w:rsidRDefault="000B3300" w:rsidP="000B3300">
      <w:r w:rsidRPr="00842D6A">
        <w:rPr>
          <w:b/>
        </w:rPr>
        <w:t xml:space="preserve">  </w:t>
      </w:r>
      <w:proofErr w:type="gramStart"/>
      <w:r w:rsidR="00842D6A" w:rsidRPr="00842D6A">
        <w:rPr>
          <w:b/>
        </w:rPr>
        <w:t>a</w:t>
      </w:r>
      <w:proofErr w:type="gramEnd"/>
      <w:r w:rsidR="00842D6A" w:rsidRPr="00842D6A">
        <w:rPr>
          <w:b/>
        </w:rPr>
        <w:t xml:space="preserve">. </w:t>
      </w:r>
      <w:r w:rsidRPr="00842D6A">
        <w:rPr>
          <w:b/>
        </w:rPr>
        <w:t xml:space="preserve"> </w:t>
      </w:r>
      <w:r w:rsidR="00A54F57">
        <w:rPr>
          <w:b/>
        </w:rPr>
        <w:t xml:space="preserve">2009-hez, a gazdasági válság </w:t>
      </w:r>
      <w:proofErr w:type="gramStart"/>
      <w:r w:rsidR="00A54F57">
        <w:rPr>
          <w:b/>
        </w:rPr>
        <w:t>tetőpontjához  képest</w:t>
      </w:r>
      <w:proofErr w:type="gramEnd"/>
      <w:r w:rsidR="00A54F57">
        <w:rPr>
          <w:b/>
        </w:rPr>
        <w:t xml:space="preserve"> </w:t>
      </w:r>
      <w:r w:rsidR="007875B9">
        <w:rPr>
          <w:b/>
        </w:rPr>
        <w:t xml:space="preserve"> </w:t>
      </w:r>
      <w:r w:rsidR="00A54F57">
        <w:rPr>
          <w:b/>
        </w:rPr>
        <w:t xml:space="preserve">is </w:t>
      </w:r>
      <w:r w:rsidR="007875B9">
        <w:rPr>
          <w:b/>
        </w:rPr>
        <w:t xml:space="preserve">csak az </w:t>
      </w:r>
      <w:r w:rsidRPr="00842D6A">
        <w:rPr>
          <w:b/>
        </w:rPr>
        <w:t xml:space="preserve"> </w:t>
      </w:r>
      <w:r w:rsidR="002E6B4B" w:rsidRPr="00842D6A">
        <w:rPr>
          <w:b/>
        </w:rPr>
        <w:t>észlelési küszöb alatti</w:t>
      </w:r>
      <w:r w:rsidR="00A54F57">
        <w:rPr>
          <w:b/>
        </w:rPr>
        <w:t xml:space="preserve">  </w:t>
      </w:r>
      <w:r w:rsidRPr="00842D6A">
        <w:rPr>
          <w:b/>
        </w:rPr>
        <w:t xml:space="preserve">vásárlóerő emelkedés </w:t>
      </w:r>
      <w:r w:rsidR="00A54F57">
        <w:rPr>
          <w:b/>
        </w:rPr>
        <w:t xml:space="preserve">figyelhető </w:t>
      </w:r>
      <w:r w:rsidRPr="00842D6A">
        <w:rPr>
          <w:b/>
        </w:rPr>
        <w:t>a minimálbéreknél</w:t>
      </w:r>
      <w:r w:rsidR="002E6B4B" w:rsidRPr="00842D6A">
        <w:rPr>
          <w:b/>
        </w:rPr>
        <w:t xml:space="preserve">: </w:t>
      </w:r>
      <w:r w:rsidRPr="00842D6A">
        <w:rPr>
          <w:b/>
        </w:rPr>
        <w:t xml:space="preserve"> </w:t>
      </w:r>
      <w:r w:rsidR="002E6B4B" w:rsidRPr="00842D6A">
        <w:rPr>
          <w:b/>
        </w:rPr>
        <w:t xml:space="preserve">6 év alatt 1000 </w:t>
      </w:r>
      <w:proofErr w:type="spellStart"/>
      <w:r w:rsidR="002E6B4B" w:rsidRPr="00842D6A">
        <w:rPr>
          <w:b/>
        </w:rPr>
        <w:t>ft</w:t>
      </w:r>
      <w:proofErr w:type="spellEnd"/>
      <w:r w:rsidR="002E6B4B" w:rsidRPr="00842D6A">
        <w:rPr>
          <w:b/>
        </w:rPr>
        <w:t xml:space="preserve"> a többlet 2009-hez képest</w:t>
      </w:r>
      <w:r w:rsidR="002E6B4B">
        <w:t>.</w:t>
      </w:r>
      <w:r w:rsidR="00386D0D">
        <w:t xml:space="preserve"> </w:t>
      </w:r>
    </w:p>
    <w:p w:rsidR="000B3300" w:rsidRPr="000B3300" w:rsidRDefault="000B3300" w:rsidP="000B3300">
      <w:r>
        <w:t xml:space="preserve"> </w:t>
      </w:r>
      <w:r w:rsidR="00386D0D">
        <w:t xml:space="preserve">Ugyanez alatt a 6 év alatt </w:t>
      </w:r>
      <w:r w:rsidR="00386D0D">
        <w:rPr>
          <w:b/>
        </w:rPr>
        <w:t>a</w:t>
      </w:r>
      <w:r w:rsidRPr="000B3300">
        <w:rPr>
          <w:b/>
        </w:rPr>
        <w:t>lig érzékelhető</w:t>
      </w:r>
      <w:r w:rsidRPr="000B3300">
        <w:t xml:space="preserve"> </w:t>
      </w:r>
      <w:r w:rsidR="002E6B4B">
        <w:t xml:space="preserve">– </w:t>
      </w:r>
      <w:r w:rsidR="002E6B4B" w:rsidRPr="00A54F57">
        <w:rPr>
          <w:b/>
        </w:rPr>
        <w:t>5</w:t>
      </w:r>
      <w:r w:rsidR="00386D0D" w:rsidRPr="00A54F57">
        <w:rPr>
          <w:b/>
        </w:rPr>
        <w:t xml:space="preserve"> </w:t>
      </w:r>
      <w:r w:rsidR="002E6B4B" w:rsidRPr="00A54F57">
        <w:rPr>
          <w:b/>
        </w:rPr>
        <w:t xml:space="preserve">000 </w:t>
      </w:r>
      <w:proofErr w:type="spellStart"/>
      <w:r w:rsidR="002E6B4B" w:rsidRPr="00A54F57">
        <w:rPr>
          <w:b/>
        </w:rPr>
        <w:t>ft-os</w:t>
      </w:r>
      <w:proofErr w:type="spellEnd"/>
      <w:r w:rsidR="00386D0D">
        <w:t xml:space="preserve"> </w:t>
      </w:r>
      <w:proofErr w:type="gramStart"/>
      <w:r w:rsidR="00386D0D">
        <w:t xml:space="preserve">a </w:t>
      </w:r>
      <w:r w:rsidR="002E6B4B">
        <w:t xml:space="preserve"> </w:t>
      </w:r>
      <w:r w:rsidRPr="000B3300">
        <w:t>vásárl</w:t>
      </w:r>
      <w:r>
        <w:t>óerő</w:t>
      </w:r>
      <w:proofErr w:type="gramEnd"/>
      <w:r>
        <w:t xml:space="preserve">  </w:t>
      </w:r>
      <w:r w:rsidR="00386D0D">
        <w:t xml:space="preserve">növekedés </w:t>
      </w:r>
      <w:r w:rsidRPr="000B3300">
        <w:rPr>
          <w:b/>
        </w:rPr>
        <w:t>a fizikai átlagbéreknél</w:t>
      </w:r>
      <w:r w:rsidRPr="000B3300">
        <w:t xml:space="preserve"> (</w:t>
      </w:r>
      <w:r w:rsidR="002E6B4B">
        <w:t xml:space="preserve">amely </w:t>
      </w:r>
      <w:r w:rsidR="00386D0D">
        <w:t xml:space="preserve">pedig </w:t>
      </w:r>
      <w:r w:rsidR="002E6B4B">
        <w:t>már a szakképzett</w:t>
      </w:r>
      <w:r w:rsidR="00386D0D">
        <w:t xml:space="preserve"> dolgozók bérét is tartalmazza),</w:t>
      </w:r>
    </w:p>
    <w:p w:rsidR="00386D0D" w:rsidRDefault="000B3300" w:rsidP="000B3300">
      <w:pPr>
        <w:rPr>
          <w:b/>
          <w:bCs/>
        </w:rPr>
      </w:pPr>
      <w:r w:rsidRPr="000B3300">
        <w:rPr>
          <w:b/>
        </w:rPr>
        <w:t>A</w:t>
      </w:r>
      <w:r w:rsidR="00A54F57">
        <w:rPr>
          <w:b/>
        </w:rPr>
        <w:t xml:space="preserve"> stagnálás</w:t>
      </w:r>
      <w:r w:rsidRPr="000B3300">
        <w:rPr>
          <w:b/>
        </w:rPr>
        <w:t xml:space="preserve"> fő ok</w:t>
      </w:r>
      <w:r w:rsidR="00A54F57">
        <w:rPr>
          <w:b/>
        </w:rPr>
        <w:t>a</w:t>
      </w:r>
      <w:r w:rsidRPr="000B3300">
        <w:rPr>
          <w:b/>
        </w:rPr>
        <w:t xml:space="preserve"> a nettó/bruttó bér arány</w:t>
      </w:r>
      <w:r w:rsidR="00A54F57">
        <w:rPr>
          <w:b/>
        </w:rPr>
        <w:t>ban végbement romlás</w:t>
      </w:r>
      <w:r w:rsidR="00A54F57">
        <w:t xml:space="preserve">: 2009-ben 100 Ft. </w:t>
      </w:r>
      <w:proofErr w:type="gramStart"/>
      <w:r w:rsidR="00386D0D">
        <w:t>bérből</w:t>
      </w:r>
      <w:proofErr w:type="gramEnd"/>
      <w:r w:rsidR="00386D0D">
        <w:t xml:space="preserve">  81 </w:t>
      </w:r>
      <w:proofErr w:type="spellStart"/>
      <w:r w:rsidR="00386D0D">
        <w:t>ft-ot</w:t>
      </w:r>
      <w:proofErr w:type="spellEnd"/>
      <w:r w:rsidR="00386D0D">
        <w:t xml:space="preserve"> kaptak kézhez a minimálbéresek, </w:t>
      </w:r>
      <w:r w:rsidRPr="000B3300">
        <w:t xml:space="preserve"> </w:t>
      </w:r>
      <w:r w:rsidR="00A54F57">
        <w:t xml:space="preserve">ma ez </w:t>
      </w:r>
      <w:r w:rsidRPr="000B3300">
        <w:t>66 Ft</w:t>
      </w:r>
      <w:r w:rsidR="00A54F57">
        <w:t>-.</w:t>
      </w:r>
      <w:r w:rsidR="00386D0D">
        <w:t xml:space="preserve"> </w:t>
      </w:r>
      <w:r w:rsidRPr="000B3300">
        <w:t xml:space="preserve"> </w:t>
      </w:r>
      <w:r w:rsidR="00386D0D">
        <w:t>Ennek hátterében az áll, hogy n</w:t>
      </w:r>
      <w:r w:rsidRPr="000B3300">
        <w:t xml:space="preserve">emzetközi összevetésben is </w:t>
      </w:r>
      <w:r w:rsidRPr="000B3300">
        <w:rPr>
          <w:b/>
          <w:bCs/>
        </w:rPr>
        <w:t xml:space="preserve">kiugróan magas </w:t>
      </w:r>
      <w:r w:rsidR="00386D0D">
        <w:rPr>
          <w:b/>
          <w:bCs/>
        </w:rPr>
        <w:t xml:space="preserve">az </w:t>
      </w:r>
      <w:r w:rsidRPr="000B3300">
        <w:rPr>
          <w:b/>
          <w:bCs/>
        </w:rPr>
        <w:t>adó-és járulékteher az alacsony bérűeken. Az EU-ban a második legmagasabb, miközben a minimálbér sz</w:t>
      </w:r>
      <w:r w:rsidR="00386D0D">
        <w:rPr>
          <w:b/>
          <w:bCs/>
        </w:rPr>
        <w:t xml:space="preserve">int az EU-ban a </w:t>
      </w:r>
      <w:r w:rsidRPr="000B3300">
        <w:rPr>
          <w:b/>
          <w:bCs/>
        </w:rPr>
        <w:t xml:space="preserve">legalsó 4-ben van. </w:t>
      </w:r>
    </w:p>
    <w:p w:rsidR="000B3300" w:rsidRDefault="000B3300" w:rsidP="000B3300">
      <w:r w:rsidRPr="000B3300">
        <w:t xml:space="preserve">A </w:t>
      </w:r>
      <w:r w:rsidR="00386D0D">
        <w:t xml:space="preserve">vásárlóerő stagnálásának másik </w:t>
      </w:r>
      <w:proofErr w:type="gramStart"/>
      <w:r w:rsidR="00386D0D">
        <w:t>oka  az</w:t>
      </w:r>
      <w:proofErr w:type="gramEnd"/>
      <w:r w:rsidR="00386D0D">
        <w:t xml:space="preserve"> elmúlt </w:t>
      </w:r>
      <w:r w:rsidRPr="000B3300">
        <w:t xml:space="preserve"> </w:t>
      </w:r>
      <w:r w:rsidR="00386D0D">
        <w:t xml:space="preserve"> </w:t>
      </w:r>
      <w:r w:rsidRPr="000B3300">
        <w:t>időszak első felében</w:t>
      </w:r>
      <w:r w:rsidR="00A54F57">
        <w:t xml:space="preserve"> bekövetkezett viszonylag magas infláció</w:t>
      </w:r>
      <w:r w:rsidRPr="000B3300">
        <w:t>,</w:t>
      </w:r>
      <w:r w:rsidR="00DE32F2">
        <w:t xml:space="preserve"> </w:t>
      </w:r>
      <w:r w:rsidR="00A54F57">
        <w:t xml:space="preserve"> </w:t>
      </w:r>
      <w:r w:rsidR="00386D0D">
        <w:t xml:space="preserve">   </w:t>
      </w:r>
      <w:r w:rsidR="00386D0D">
        <w:rPr>
          <w:b/>
        </w:rPr>
        <w:t>az ÁFA kulcs</w:t>
      </w:r>
      <w:r w:rsidR="00DE32F2" w:rsidRPr="00DE32F2">
        <w:rPr>
          <w:b/>
        </w:rPr>
        <w:t xml:space="preserve"> 27%-os</w:t>
      </w:r>
      <w:r w:rsidR="00386D0D">
        <w:rPr>
          <w:b/>
        </w:rPr>
        <w:t>ra emelés</w:t>
      </w:r>
      <w:r w:rsidR="00A54F57">
        <w:rPr>
          <w:b/>
        </w:rPr>
        <w:t>ével is összefüggésben</w:t>
      </w:r>
      <w:r w:rsidR="00386D0D">
        <w:rPr>
          <w:b/>
        </w:rPr>
        <w:t>.</w:t>
      </w:r>
    </w:p>
    <w:p w:rsidR="00386D0D" w:rsidRPr="00386D0D" w:rsidRDefault="00386D0D" w:rsidP="00386D0D">
      <w:r w:rsidRPr="00386D0D">
        <w:t xml:space="preserve">Így állt elő az a szomorú tény, hogy a </w:t>
      </w:r>
      <w:r w:rsidR="00A54F57">
        <w:t>2</w:t>
      </w:r>
      <w:r w:rsidR="00A54F57" w:rsidRPr="00386D0D">
        <w:t>009-2015 között</w:t>
      </w:r>
      <w:r w:rsidR="00A54F57">
        <w:t>i</w:t>
      </w:r>
      <w:r w:rsidR="00A54F57" w:rsidRPr="00386D0D">
        <w:t xml:space="preserve"> </w:t>
      </w:r>
      <w:r w:rsidRPr="00386D0D">
        <w:t xml:space="preserve">látványos </w:t>
      </w:r>
      <w:r w:rsidRPr="00386D0D">
        <w:rPr>
          <w:b/>
        </w:rPr>
        <w:t>bruttó minimálbér</w:t>
      </w:r>
      <w:r w:rsidRPr="00386D0D">
        <w:t xml:space="preserve"> növekedés </w:t>
      </w:r>
      <w:r w:rsidR="00A54F57">
        <w:t xml:space="preserve">(147%) </w:t>
      </w:r>
      <w:r w:rsidRPr="00386D0D">
        <w:t xml:space="preserve">ellenére a minimálbérek vásárlóereje </w:t>
      </w:r>
      <w:r w:rsidRPr="00A54F57">
        <w:rPr>
          <w:b/>
        </w:rPr>
        <w:t>2%-os mértékben sem</w:t>
      </w:r>
      <w:r w:rsidRPr="00386D0D">
        <w:t xml:space="preserve"> nőtt az elmúlt 6 évben.</w:t>
      </w:r>
    </w:p>
    <w:p w:rsidR="00344B46" w:rsidRDefault="00386D0D" w:rsidP="006052EE">
      <w:pPr>
        <w:rPr>
          <w:b/>
        </w:rPr>
      </w:pPr>
      <w:r w:rsidRPr="00386D0D">
        <w:t xml:space="preserve">És az is tény, hogy a </w:t>
      </w:r>
      <w:r w:rsidR="006052EE" w:rsidRPr="00386D0D">
        <w:rPr>
          <w:b/>
        </w:rPr>
        <w:t xml:space="preserve">minimálbér/létminimum arány </w:t>
      </w:r>
      <w:r w:rsidRPr="00386D0D">
        <w:rPr>
          <w:b/>
        </w:rPr>
        <w:t>sem javult érdemben az elmúlt időszakban.</w:t>
      </w:r>
      <w:r w:rsidR="006052EE" w:rsidRPr="00386D0D">
        <w:rPr>
          <w:b/>
        </w:rPr>
        <w:t xml:space="preserve"> </w:t>
      </w:r>
      <w:r w:rsidR="00344B46" w:rsidRPr="00386D0D">
        <w:rPr>
          <w:b/>
        </w:rPr>
        <w:t>A minimálbér nettó összege ugyanúgy a létminimum 78%-án áll</w:t>
      </w:r>
      <w:r w:rsidRPr="00386D0D">
        <w:rPr>
          <w:b/>
        </w:rPr>
        <w:t xml:space="preserve"> ma</w:t>
      </w:r>
      <w:r w:rsidR="00344B46" w:rsidRPr="00386D0D">
        <w:rPr>
          <w:b/>
        </w:rPr>
        <w:t>, mint 2010-ben.</w:t>
      </w:r>
    </w:p>
    <w:p w:rsidR="00842D6A" w:rsidRDefault="00842D6A" w:rsidP="006052EE">
      <w:pPr>
        <w:rPr>
          <w:b/>
        </w:rPr>
      </w:pPr>
      <w:r>
        <w:rPr>
          <w:b/>
        </w:rPr>
        <w:t xml:space="preserve">b. A másik problémánk, hogy miközben az alacsony bérű dolgozók megélhetése alig javult, </w:t>
      </w:r>
      <w:r w:rsidR="001C0D5A">
        <w:rPr>
          <w:b/>
        </w:rPr>
        <w:t>A</w:t>
      </w:r>
      <w:r>
        <w:rPr>
          <w:b/>
        </w:rPr>
        <w:t xml:space="preserve"> tőketulajdonosok és vállalkozók részesedése a bruttó hazai termékből 2007-2015 között, tehát a g</w:t>
      </w:r>
      <w:r w:rsidR="00000566">
        <w:rPr>
          <w:b/>
        </w:rPr>
        <w:t>az</w:t>
      </w:r>
      <w:r>
        <w:rPr>
          <w:b/>
        </w:rPr>
        <w:t xml:space="preserve">dasági válság </w:t>
      </w:r>
      <w:r w:rsidRPr="00A54F57">
        <w:rPr>
          <w:b/>
          <w:u w:val="single"/>
        </w:rPr>
        <w:t>előtt</w:t>
      </w:r>
      <w:r w:rsidR="00A54F57">
        <w:rPr>
          <w:b/>
          <w:u w:val="single"/>
        </w:rPr>
        <w:t>i</w:t>
      </w:r>
      <w:r w:rsidR="00A54F57">
        <w:rPr>
          <w:b/>
        </w:rPr>
        <w:t xml:space="preserve"> utolsó évhez képest</w:t>
      </w:r>
      <w:r>
        <w:rPr>
          <w:b/>
        </w:rPr>
        <w:t>, közel 500 milliárd forinttal emelkedett</w:t>
      </w:r>
      <w:r w:rsidR="007875B9">
        <w:rPr>
          <w:b/>
        </w:rPr>
        <w:t>, miközben e jövedelmek beruházási célú felhasználása csökkent</w:t>
      </w:r>
      <w:r w:rsidR="00000566">
        <w:rPr>
          <w:b/>
        </w:rPr>
        <w:t>.</w:t>
      </w:r>
      <w:r w:rsidR="00A54F57">
        <w:rPr>
          <w:b/>
        </w:rPr>
        <w:t xml:space="preserve"> A bérek részesedése ezzel szemben mindössze 17 Milliárd forinttal nőtt. </w:t>
      </w:r>
      <w:r w:rsidR="00000566">
        <w:rPr>
          <w:b/>
        </w:rPr>
        <w:t xml:space="preserve"> </w:t>
      </w:r>
      <w:r w:rsidR="0005212D">
        <w:rPr>
          <w:b/>
        </w:rPr>
        <w:t xml:space="preserve">A szakszervezetek által eredetileg javasolt minimálbér emelés összköltsége 115 </w:t>
      </w:r>
      <w:proofErr w:type="spellStart"/>
      <w:r w:rsidR="0005212D">
        <w:rPr>
          <w:b/>
        </w:rPr>
        <w:t>md</w:t>
      </w:r>
      <w:proofErr w:type="spellEnd"/>
      <w:r w:rsidR="0005212D">
        <w:rPr>
          <w:b/>
        </w:rPr>
        <w:t xml:space="preserve"> </w:t>
      </w:r>
      <w:proofErr w:type="spellStart"/>
      <w:r w:rsidR="0005212D">
        <w:rPr>
          <w:b/>
        </w:rPr>
        <w:t>ft-ot</w:t>
      </w:r>
      <w:proofErr w:type="spellEnd"/>
      <w:r w:rsidR="0005212D">
        <w:rPr>
          <w:b/>
        </w:rPr>
        <w:t xml:space="preserve"> tenne ki, jóval alatta maradna a vállalkozói-tulajdonosi jövedelem gyarapodásnak. </w:t>
      </w:r>
      <w:r w:rsidR="00A54F57">
        <w:rPr>
          <w:b/>
        </w:rPr>
        <w:t>A vállalkozói és tőketulajdonosi</w:t>
      </w:r>
      <w:r w:rsidR="00000566">
        <w:rPr>
          <w:b/>
        </w:rPr>
        <w:t xml:space="preserve"> </w:t>
      </w:r>
      <w:r w:rsidR="00A54F57">
        <w:rPr>
          <w:b/>
        </w:rPr>
        <w:t xml:space="preserve">jövedelem nettó </w:t>
      </w:r>
      <w:proofErr w:type="gramStart"/>
      <w:r w:rsidR="00A54F57">
        <w:rPr>
          <w:b/>
        </w:rPr>
        <w:t>értékének  a</w:t>
      </w:r>
      <w:proofErr w:type="gramEnd"/>
      <w:r w:rsidR="00A54F57">
        <w:rPr>
          <w:b/>
        </w:rPr>
        <w:t xml:space="preserve"> növekedési</w:t>
      </w:r>
      <w:r w:rsidR="00000566">
        <w:rPr>
          <w:b/>
        </w:rPr>
        <w:t xml:space="preserve"> dinamikája </w:t>
      </w:r>
      <w:r w:rsidR="00A54F57">
        <w:rPr>
          <w:b/>
        </w:rPr>
        <w:t xml:space="preserve">  még magasabb volt  a jövedelem adó</w:t>
      </w:r>
      <w:r w:rsidR="00000566">
        <w:rPr>
          <w:b/>
        </w:rPr>
        <w:t xml:space="preserve">kulcsok magas jövedelműeket kedvezményező  átalakítása következtében. </w:t>
      </w:r>
      <w:r>
        <w:rPr>
          <w:b/>
        </w:rPr>
        <w:t xml:space="preserve"> </w:t>
      </w:r>
      <w:r w:rsidR="008522E2">
        <w:rPr>
          <w:b/>
        </w:rPr>
        <w:t>Ezt igazolja</w:t>
      </w:r>
      <w:proofErr w:type="gramStart"/>
      <w:r w:rsidR="008522E2">
        <w:rPr>
          <w:b/>
        </w:rPr>
        <w:t xml:space="preserve">,  </w:t>
      </w:r>
      <w:r w:rsidR="007875B9">
        <w:rPr>
          <w:b/>
        </w:rPr>
        <w:t xml:space="preserve"> hogy</w:t>
      </w:r>
      <w:proofErr w:type="gramEnd"/>
      <w:r w:rsidR="007875B9">
        <w:rPr>
          <w:b/>
        </w:rPr>
        <w:t xml:space="preserve"> </w:t>
      </w:r>
      <w:r w:rsidR="008522E2">
        <w:rPr>
          <w:b/>
        </w:rPr>
        <w:t xml:space="preserve">2010-2014 között </w:t>
      </w:r>
      <w:r w:rsidR="0005212D">
        <w:rPr>
          <w:b/>
        </w:rPr>
        <w:t>(</w:t>
      </w:r>
      <w:r w:rsidR="008522E2">
        <w:rPr>
          <w:b/>
        </w:rPr>
        <w:t>10%-kal</w:t>
      </w:r>
      <w:r w:rsidR="0005212D">
        <w:rPr>
          <w:b/>
        </w:rPr>
        <w:t>)</w:t>
      </w:r>
      <w:r w:rsidR="008522E2">
        <w:rPr>
          <w:b/>
        </w:rPr>
        <w:t xml:space="preserve"> nőtt a különbség  </w:t>
      </w:r>
      <w:r w:rsidR="007875B9">
        <w:rPr>
          <w:b/>
        </w:rPr>
        <w:t>a háztartások  legmagasabb jövedelmű  20%</w:t>
      </w:r>
      <w:r w:rsidR="008522E2">
        <w:rPr>
          <w:b/>
        </w:rPr>
        <w:t>-ának</w:t>
      </w:r>
      <w:r w:rsidR="007875B9">
        <w:rPr>
          <w:b/>
        </w:rPr>
        <w:t xml:space="preserve"> a fogyasztása </w:t>
      </w:r>
      <w:r w:rsidR="008522E2">
        <w:rPr>
          <w:b/>
        </w:rPr>
        <w:t xml:space="preserve">és </w:t>
      </w:r>
      <w:r w:rsidR="007875B9">
        <w:rPr>
          <w:b/>
        </w:rPr>
        <w:t xml:space="preserve"> a leg</w:t>
      </w:r>
      <w:r w:rsidR="008522E2">
        <w:rPr>
          <w:b/>
        </w:rPr>
        <w:t xml:space="preserve">alacsonyabb </w:t>
      </w:r>
      <w:r w:rsidR="007875B9">
        <w:rPr>
          <w:b/>
        </w:rPr>
        <w:t>jövedelmű   20%-nak a  fogyasztás</w:t>
      </w:r>
      <w:r w:rsidR="008522E2">
        <w:rPr>
          <w:b/>
        </w:rPr>
        <w:t>a között</w:t>
      </w:r>
      <w:r w:rsidR="007875B9">
        <w:rPr>
          <w:b/>
        </w:rPr>
        <w:t xml:space="preserve">. </w:t>
      </w:r>
    </w:p>
    <w:p w:rsidR="006076BF" w:rsidRDefault="00000566" w:rsidP="006052EE">
      <w:pPr>
        <w:rPr>
          <w:b/>
        </w:rPr>
      </w:pPr>
      <w:proofErr w:type="gramStart"/>
      <w:r>
        <w:rPr>
          <w:b/>
        </w:rPr>
        <w:t>c.</w:t>
      </w:r>
      <w:proofErr w:type="gramEnd"/>
      <w:r>
        <w:rPr>
          <w:b/>
        </w:rPr>
        <w:t xml:space="preserve"> A harmadik problémánk, hogy romlik a bérpozíciónk nemcsak a fejlett ny</w:t>
      </w:r>
      <w:r w:rsidR="008522E2">
        <w:rPr>
          <w:b/>
        </w:rPr>
        <w:t>ugat</w:t>
      </w:r>
      <w:r>
        <w:rPr>
          <w:b/>
        </w:rPr>
        <w:t>-eu</w:t>
      </w:r>
      <w:r w:rsidR="008522E2">
        <w:rPr>
          <w:b/>
        </w:rPr>
        <w:t>rópa</w:t>
      </w:r>
      <w:r>
        <w:rPr>
          <w:b/>
        </w:rPr>
        <w:t>i, hanem a kelet-eu</w:t>
      </w:r>
      <w:r w:rsidR="008522E2">
        <w:rPr>
          <w:b/>
        </w:rPr>
        <w:t>rópai</w:t>
      </w:r>
      <w:r>
        <w:rPr>
          <w:b/>
        </w:rPr>
        <w:t xml:space="preserve"> </w:t>
      </w:r>
      <w:proofErr w:type="spellStart"/>
      <w:r>
        <w:rPr>
          <w:b/>
        </w:rPr>
        <w:t>szomszédainkhoz</w:t>
      </w:r>
      <w:proofErr w:type="spellEnd"/>
      <w:r>
        <w:rPr>
          <w:b/>
        </w:rPr>
        <w:t xml:space="preserve"> képest is, és ez az, ami tartósan ösztönzi a munkaerő elvándorlást </w:t>
      </w:r>
      <w:r>
        <w:rPr>
          <w:b/>
        </w:rPr>
        <w:lastRenderedPageBreak/>
        <w:t xml:space="preserve">az országból. </w:t>
      </w:r>
      <w:r w:rsidR="006076BF">
        <w:rPr>
          <w:b/>
        </w:rPr>
        <w:t xml:space="preserve">Az osztrák háztartások átlagos fogyasztása 2004-ben 3,5-szeresét tette ki a magyarénak, 2014.ben csaknem négyszeresét. A román háztartás fogyasztási adat </w:t>
      </w:r>
      <w:proofErr w:type="gramStart"/>
      <w:r w:rsidR="006076BF">
        <w:rPr>
          <w:b/>
        </w:rPr>
        <w:t>2004-ben  felét</w:t>
      </w:r>
      <w:proofErr w:type="gramEnd"/>
      <w:r w:rsidR="006076BF">
        <w:rPr>
          <w:b/>
        </w:rPr>
        <w:t xml:space="preserve"> sem érte el a magyarnak, 2014-ben meghaladja a 90%-át. </w:t>
      </w:r>
    </w:p>
    <w:p w:rsidR="00AB2FC0" w:rsidRDefault="006076BF" w:rsidP="006052EE">
      <w:pPr>
        <w:rPr>
          <w:b/>
        </w:rPr>
      </w:pPr>
      <w:r>
        <w:rPr>
          <w:b/>
        </w:rPr>
        <w:t xml:space="preserve"> </w:t>
      </w:r>
      <w:r w:rsidR="000C2768">
        <w:rPr>
          <w:b/>
        </w:rPr>
        <w:t>Félő</w:t>
      </w:r>
      <w:r w:rsidR="00000566">
        <w:rPr>
          <w:b/>
        </w:rPr>
        <w:t xml:space="preserve">, hogy a nyomott bérek </w:t>
      </w:r>
      <w:r w:rsidR="000C2768">
        <w:rPr>
          <w:b/>
        </w:rPr>
        <w:t xml:space="preserve">főleg </w:t>
      </w:r>
      <w:r w:rsidR="00000566">
        <w:rPr>
          <w:b/>
        </w:rPr>
        <w:t xml:space="preserve">az </w:t>
      </w:r>
      <w:r w:rsidR="00AB2FC0">
        <w:rPr>
          <w:b/>
        </w:rPr>
        <w:t>alacsony</w:t>
      </w:r>
      <w:r w:rsidR="000C2768">
        <w:rPr>
          <w:b/>
        </w:rPr>
        <w:t>abb</w:t>
      </w:r>
      <w:r w:rsidR="00AB2FC0">
        <w:rPr>
          <w:b/>
        </w:rPr>
        <w:t xml:space="preserve"> teljesítő képességű, alacsony</w:t>
      </w:r>
      <w:r w:rsidR="000C2768">
        <w:rPr>
          <w:b/>
        </w:rPr>
        <w:t>abb</w:t>
      </w:r>
      <w:r w:rsidR="00AB2FC0">
        <w:rPr>
          <w:b/>
        </w:rPr>
        <w:t xml:space="preserve"> </w:t>
      </w:r>
      <w:proofErr w:type="gramStart"/>
      <w:r w:rsidR="00AB2FC0">
        <w:rPr>
          <w:b/>
        </w:rPr>
        <w:t>képzettségű  munkaerőt</w:t>
      </w:r>
      <w:proofErr w:type="gramEnd"/>
      <w:r w:rsidR="00AB2FC0">
        <w:rPr>
          <w:b/>
        </w:rPr>
        <w:t xml:space="preserve"> </w:t>
      </w:r>
      <w:r w:rsidR="000C2768">
        <w:rPr>
          <w:b/>
        </w:rPr>
        <w:t>alkalmazni kívánó</w:t>
      </w:r>
      <w:r w:rsidR="00AB2FC0">
        <w:rPr>
          <w:b/>
        </w:rPr>
        <w:t xml:space="preserve"> befektetőket vonzzák az országba és ebből egy ördögi kör alakulhat ki. </w:t>
      </w:r>
      <w:r w:rsidR="0005212D">
        <w:rPr>
          <w:b/>
        </w:rPr>
        <w:t>K</w:t>
      </w:r>
      <w:r w:rsidR="000C2768">
        <w:rPr>
          <w:b/>
        </w:rPr>
        <w:t xml:space="preserve">evéssé ismert </w:t>
      </w:r>
      <w:r w:rsidR="00AB2FC0">
        <w:rPr>
          <w:b/>
        </w:rPr>
        <w:t xml:space="preserve">tény, hogy az egy </w:t>
      </w:r>
      <w:r w:rsidR="000C2768">
        <w:rPr>
          <w:b/>
        </w:rPr>
        <w:t>F</w:t>
      </w:r>
      <w:r w:rsidR="00AB2FC0">
        <w:rPr>
          <w:b/>
        </w:rPr>
        <w:t>t bérre jutó feldolgozó ipari termelékenységünk magasabb, mint a német, vagy az osztrák és nyilvánvalóan nem a magasabb hozz</w:t>
      </w:r>
      <w:r w:rsidR="008522E2">
        <w:rPr>
          <w:b/>
        </w:rPr>
        <w:t>áado</w:t>
      </w:r>
      <w:r w:rsidR="00AB2FC0">
        <w:rPr>
          <w:b/>
        </w:rPr>
        <w:t xml:space="preserve">tt értéket előállító </w:t>
      </w:r>
      <w:r w:rsidR="000C2768">
        <w:rPr>
          <w:b/>
        </w:rPr>
        <w:t>termelő kapacitások</w:t>
      </w:r>
      <w:r w:rsidR="00AB2FC0">
        <w:rPr>
          <w:b/>
        </w:rPr>
        <w:t>, hanem a</w:t>
      </w:r>
      <w:r w:rsidR="000C2768">
        <w:rPr>
          <w:b/>
        </w:rPr>
        <w:t xml:space="preserve">z </w:t>
      </w:r>
      <w:proofErr w:type="gramStart"/>
      <w:r w:rsidR="000C2768">
        <w:rPr>
          <w:b/>
        </w:rPr>
        <w:t xml:space="preserve">alacsony  </w:t>
      </w:r>
      <w:r w:rsidR="00AB2FC0">
        <w:rPr>
          <w:b/>
        </w:rPr>
        <w:t xml:space="preserve"> béreink</w:t>
      </w:r>
      <w:proofErr w:type="gramEnd"/>
      <w:r w:rsidR="00AB2FC0">
        <w:rPr>
          <w:b/>
        </w:rPr>
        <w:t xml:space="preserve"> miatt. </w:t>
      </w:r>
    </w:p>
    <w:p w:rsidR="000C2768" w:rsidRDefault="008522E2" w:rsidP="00AA0B21">
      <w:pPr>
        <w:rPr>
          <w:b/>
        </w:rPr>
      </w:pPr>
      <w:r>
        <w:rPr>
          <w:b/>
          <w:color w:val="FF0000"/>
          <w:u w:val="single"/>
        </w:rPr>
        <w:t>4</w:t>
      </w:r>
      <w:r w:rsidR="00AA0B21" w:rsidRPr="003D1389">
        <w:rPr>
          <w:b/>
          <w:color w:val="FF0000"/>
          <w:u w:val="single"/>
        </w:rPr>
        <w:t>.</w:t>
      </w:r>
      <w:r w:rsidR="00AA0B21" w:rsidRPr="003D1389">
        <w:rPr>
          <w:color w:val="FF0000"/>
        </w:rPr>
        <w:t xml:space="preserve"> </w:t>
      </w:r>
      <w:r w:rsidR="00AA0B21" w:rsidRPr="003D1389">
        <w:rPr>
          <w:b/>
          <w:color w:val="FF0000"/>
        </w:rPr>
        <w:t xml:space="preserve">A bérfelzárkóztatás végrehajtása terén </w:t>
      </w:r>
      <w:r w:rsidR="00AA0B21" w:rsidRPr="003D1389">
        <w:rPr>
          <w:b/>
          <w:bCs/>
          <w:color w:val="FF0000"/>
        </w:rPr>
        <w:t xml:space="preserve">az első, jelzésértékű lépést a kormánynak kell </w:t>
      </w:r>
      <w:r w:rsidR="00AA0B21" w:rsidRPr="00AA0B21">
        <w:rPr>
          <w:b/>
          <w:bCs/>
        </w:rPr>
        <w:t>megtennie</w:t>
      </w:r>
      <w:r w:rsidR="00AA0B21">
        <w:t xml:space="preserve">. </w:t>
      </w:r>
      <w:r w:rsidR="00AA0B21" w:rsidRPr="00AA0B21">
        <w:t xml:space="preserve"> </w:t>
      </w:r>
      <w:proofErr w:type="gramStart"/>
      <w:r w:rsidR="00AA0B21">
        <w:t xml:space="preserve">A </w:t>
      </w:r>
      <w:r w:rsidR="00AA0B21" w:rsidRPr="00AA0B21">
        <w:t xml:space="preserve"> minimálbér</w:t>
      </w:r>
      <w:proofErr w:type="gramEnd"/>
      <w:r w:rsidR="00AA0B21" w:rsidRPr="00AA0B21">
        <w:t xml:space="preserve"> emelés előnyei</w:t>
      </w:r>
      <w:r w:rsidR="00AA0B21">
        <w:t xml:space="preserve"> ugyanis </w:t>
      </w:r>
      <w:r w:rsidR="000C2768">
        <w:t xml:space="preserve"> </w:t>
      </w:r>
      <w:r w:rsidR="00AA0B21" w:rsidRPr="00AA0B21">
        <w:t xml:space="preserve"> rövidtávon nem mikro, azaz</w:t>
      </w:r>
      <w:r w:rsidR="00AA0B21">
        <w:t xml:space="preserve"> nem</w:t>
      </w:r>
      <w:r w:rsidR="00AA0B21" w:rsidRPr="00AA0B21">
        <w:t xml:space="preserve"> vállalati szinten, hanem a </w:t>
      </w:r>
      <w:r w:rsidR="00AA0B21" w:rsidRPr="00AA0B21">
        <w:rPr>
          <w:b/>
        </w:rPr>
        <w:t>makrogazdaságban és társadalmi szinten</w:t>
      </w:r>
      <w:r w:rsidR="00AA0B21" w:rsidRPr="00AA0B21">
        <w:t xml:space="preserve"> jelentkeznek: a kereslet ösztönzött növekedésben, a jövedelem egyenlőtlenségek mérséklésében, a nem kívánatos </w:t>
      </w:r>
      <w:r w:rsidR="00AA0B21">
        <w:t xml:space="preserve">munkaerő </w:t>
      </w:r>
      <w:r w:rsidR="00AA0B21" w:rsidRPr="00AA0B21">
        <w:t>mobilitás elkerülésében.  Az első lépést a kormánynak kellene megtennie</w:t>
      </w:r>
      <w:r w:rsidR="00DE32F2">
        <w:t xml:space="preserve"> azért is, mert az alacsony bérek vásárló értékének leszakadása is </w:t>
      </w:r>
      <w:r w:rsidR="00DE32F2" w:rsidRPr="00DE32F2">
        <w:rPr>
          <w:b/>
        </w:rPr>
        <w:t>kormányzati döntésekkel függött össze (</w:t>
      </w:r>
      <w:r w:rsidR="000C2768">
        <w:rPr>
          <w:b/>
        </w:rPr>
        <w:t xml:space="preserve">az </w:t>
      </w:r>
      <w:r w:rsidR="00DE32F2" w:rsidRPr="00DE32F2">
        <w:rPr>
          <w:b/>
        </w:rPr>
        <w:t>adó-járulék mértékek</w:t>
      </w:r>
      <w:r w:rsidR="00AB2FC0">
        <w:rPr>
          <w:b/>
        </w:rPr>
        <w:t xml:space="preserve"> átalakítás</w:t>
      </w:r>
      <w:r w:rsidR="000C2768">
        <w:rPr>
          <w:b/>
        </w:rPr>
        <w:t>ával</w:t>
      </w:r>
      <w:r w:rsidR="00DE32F2" w:rsidRPr="00DE32F2">
        <w:rPr>
          <w:b/>
        </w:rPr>
        <w:t xml:space="preserve">, </w:t>
      </w:r>
      <w:r w:rsidR="00AB2FC0">
        <w:rPr>
          <w:b/>
        </w:rPr>
        <w:t xml:space="preserve">az </w:t>
      </w:r>
      <w:r w:rsidR="00DE32F2" w:rsidRPr="00DE32F2">
        <w:rPr>
          <w:b/>
        </w:rPr>
        <w:t>alapvető élelmiszerek és szolgáltatások magas ÁFA kulcs</w:t>
      </w:r>
      <w:r w:rsidR="000C2768">
        <w:rPr>
          <w:b/>
        </w:rPr>
        <w:t>ának alkalmazásával</w:t>
      </w:r>
      <w:r w:rsidR="00DE32F2" w:rsidRPr="00DE32F2">
        <w:rPr>
          <w:b/>
        </w:rPr>
        <w:t>)</w:t>
      </w:r>
      <w:r w:rsidR="00DE32F2">
        <w:rPr>
          <w:b/>
        </w:rPr>
        <w:t xml:space="preserve">. </w:t>
      </w:r>
    </w:p>
    <w:p w:rsidR="00AA0B21" w:rsidRPr="00AA0B21" w:rsidRDefault="00AA0B21" w:rsidP="00AA0B21">
      <w:pPr>
        <w:rPr>
          <w:b/>
        </w:rPr>
      </w:pPr>
      <w:r w:rsidRPr="00AA0B21">
        <w:rPr>
          <w:b/>
        </w:rPr>
        <w:t xml:space="preserve">A kormányzati szerep jelentőségét igazolják a közelmúlt európai példái: </w:t>
      </w:r>
    </w:p>
    <w:p w:rsidR="00181DD7" w:rsidRPr="00AA0B21" w:rsidRDefault="00265CBD" w:rsidP="00AA0B21">
      <w:pPr>
        <w:numPr>
          <w:ilvl w:val="0"/>
          <w:numId w:val="3"/>
        </w:numPr>
      </w:pPr>
      <w:r w:rsidRPr="00AA0B21">
        <w:t>a német min</w:t>
      </w:r>
      <w:r w:rsidR="008522E2">
        <w:t>imál</w:t>
      </w:r>
      <w:r w:rsidRPr="00AA0B21">
        <w:t xml:space="preserve"> bér emelés </w:t>
      </w:r>
    </w:p>
    <w:p w:rsidR="00181DD7" w:rsidRDefault="00265CBD" w:rsidP="00AA0B21">
      <w:pPr>
        <w:numPr>
          <w:ilvl w:val="0"/>
          <w:numId w:val="3"/>
        </w:numPr>
      </w:pPr>
      <w:r w:rsidRPr="00AA0B21">
        <w:t xml:space="preserve">a brit </w:t>
      </w:r>
      <w:r w:rsidR="008522E2">
        <w:t xml:space="preserve">minimálbér emelési </w:t>
      </w:r>
      <w:r w:rsidRPr="00AA0B21">
        <w:t>kormányprogram</w:t>
      </w:r>
      <w:r w:rsidR="008522E2">
        <w:t xml:space="preserve">, </w:t>
      </w:r>
      <w:proofErr w:type="gramStart"/>
      <w:r w:rsidR="008522E2">
        <w:t xml:space="preserve">amely </w:t>
      </w:r>
      <w:r w:rsidRPr="00AA0B21">
        <w:t xml:space="preserve"> 4</w:t>
      </w:r>
      <w:proofErr w:type="gramEnd"/>
      <w:r w:rsidRPr="00AA0B21">
        <w:t xml:space="preserve"> év alatt 40%</w:t>
      </w:r>
      <w:r w:rsidR="00AA0B21">
        <w:t xml:space="preserve">-os </w:t>
      </w:r>
      <w:r w:rsidR="008522E2">
        <w:t>mértékben emeli a legkisebb béreket</w:t>
      </w:r>
      <w:r w:rsidR="00AA0B21">
        <w:t>.</w:t>
      </w:r>
    </w:p>
    <w:p w:rsidR="000C2768" w:rsidRPr="00AA0B21" w:rsidRDefault="000C2768" w:rsidP="000C2768">
      <w:r w:rsidRPr="000C2768">
        <w:rPr>
          <w:b/>
        </w:rPr>
        <w:t xml:space="preserve">A kormányzati döntés </w:t>
      </w:r>
      <w:proofErr w:type="gramStart"/>
      <w:r w:rsidRPr="000C2768">
        <w:rPr>
          <w:b/>
        </w:rPr>
        <w:t xml:space="preserve">persze </w:t>
      </w:r>
      <w:r w:rsidRPr="00AA0B21">
        <w:t xml:space="preserve"> </w:t>
      </w:r>
      <w:r>
        <w:t>kiterjedhet</w:t>
      </w:r>
      <w:proofErr w:type="gramEnd"/>
      <w:r>
        <w:t xml:space="preserve"> arra, hogy a </w:t>
      </w:r>
      <w:r w:rsidRPr="000C2768">
        <w:rPr>
          <w:b/>
        </w:rPr>
        <w:t xml:space="preserve">  költségérzékenyebb  KKV szektor </w:t>
      </w:r>
      <w:r>
        <w:rPr>
          <w:b/>
        </w:rPr>
        <w:t xml:space="preserve">támogatást </w:t>
      </w:r>
      <w:r w:rsidRPr="000C2768">
        <w:rPr>
          <w:b/>
        </w:rPr>
        <w:t xml:space="preserve"> </w:t>
      </w:r>
      <w:r>
        <w:rPr>
          <w:b/>
        </w:rPr>
        <w:t xml:space="preserve">kapjon a  minimálbéremelés költségterheinek elviselésére </w:t>
      </w:r>
      <w:r w:rsidRPr="00AA0B21">
        <w:t xml:space="preserve">(pl. </w:t>
      </w:r>
      <w:r>
        <w:t xml:space="preserve">tartós-vagy átmeneti </w:t>
      </w:r>
      <w:r w:rsidRPr="00AA0B21">
        <w:t>járulék csökkentéssel).</w:t>
      </w:r>
      <w:r>
        <w:t xml:space="preserve"> </w:t>
      </w:r>
    </w:p>
    <w:p w:rsidR="00BB50B1" w:rsidRDefault="008522E2" w:rsidP="00BB50B1">
      <w:r>
        <w:rPr>
          <w:b/>
          <w:color w:val="FF0000"/>
          <w:u w:val="single"/>
        </w:rPr>
        <w:t>5</w:t>
      </w:r>
      <w:r w:rsidR="00BB50B1" w:rsidRPr="003D1389">
        <w:rPr>
          <w:b/>
          <w:color w:val="FF0000"/>
          <w:u w:val="single"/>
        </w:rPr>
        <w:t>.</w:t>
      </w:r>
      <w:r w:rsidR="00BB50B1" w:rsidRPr="003D1389">
        <w:rPr>
          <w:b/>
          <w:color w:val="FF0000"/>
        </w:rPr>
        <w:t xml:space="preserve"> A </w:t>
      </w:r>
      <w:r w:rsidR="000C2768">
        <w:rPr>
          <w:b/>
          <w:color w:val="FF0000"/>
        </w:rPr>
        <w:t xml:space="preserve">magasabb béremelési dinamika jótékony növekedési hatását </w:t>
      </w:r>
      <w:proofErr w:type="gramStart"/>
      <w:r w:rsidR="000C2768">
        <w:rPr>
          <w:b/>
          <w:color w:val="FF0000"/>
        </w:rPr>
        <w:t xml:space="preserve">valószínűsíti  </w:t>
      </w:r>
      <w:r>
        <w:rPr>
          <w:b/>
          <w:color w:val="FF0000"/>
        </w:rPr>
        <w:t xml:space="preserve"> a</w:t>
      </w:r>
      <w:proofErr w:type="gramEnd"/>
      <w:r>
        <w:rPr>
          <w:b/>
          <w:color w:val="FF0000"/>
        </w:rPr>
        <w:t xml:space="preserve"> </w:t>
      </w:r>
      <w:r w:rsidR="00BB50B1" w:rsidRPr="003D1389">
        <w:rPr>
          <w:b/>
          <w:color w:val="FF0000"/>
        </w:rPr>
        <w:t xml:space="preserve">hazai piac (kereslet) </w:t>
      </w:r>
      <w:r w:rsidR="000C2768">
        <w:rPr>
          <w:b/>
          <w:color w:val="FF0000"/>
        </w:rPr>
        <w:t xml:space="preserve">nemzetközi összevetésben is </w:t>
      </w:r>
      <w:r>
        <w:rPr>
          <w:b/>
          <w:color w:val="FF0000"/>
        </w:rPr>
        <w:t xml:space="preserve">alacsony </w:t>
      </w:r>
      <w:r w:rsidR="00BB50B1" w:rsidRPr="003D1389">
        <w:rPr>
          <w:b/>
          <w:color w:val="FF0000"/>
        </w:rPr>
        <w:t>súlya</w:t>
      </w:r>
      <w:r w:rsidR="00BB50B1" w:rsidRPr="003D1389">
        <w:rPr>
          <w:color w:val="FF0000"/>
        </w:rPr>
        <w:t xml:space="preserve"> </w:t>
      </w:r>
      <w:r w:rsidR="00BB50B1">
        <w:t xml:space="preserve">a megtermelt bruttó hazai termék </w:t>
      </w:r>
      <w:r w:rsidR="000C2768">
        <w:t>felhasználásában</w:t>
      </w:r>
      <w:r>
        <w:t>. Amíg Lengyelországban a hazai</w:t>
      </w:r>
      <w:r w:rsidR="000C2768">
        <w:t xml:space="preserve"> kereslet</w:t>
      </w:r>
      <w:r>
        <w:t xml:space="preserve"> (</w:t>
      </w:r>
      <w:r w:rsidR="000C2768">
        <w:t xml:space="preserve">a </w:t>
      </w:r>
      <w:r>
        <w:t xml:space="preserve">belső piac) veszi fel a bruttó hazai termék csaknem 80%-át, addig Magyarországon 50% alatti a hazai piac részesedése a GDP „fogyasztásából”. A </w:t>
      </w:r>
      <w:r w:rsidR="000C2768">
        <w:t>jóval magasabb</w:t>
      </w:r>
      <w:r>
        <w:t xml:space="preserve"> lengyel belső fogyasztási arány fontos összetevője a lengyel gazdasági növekedés évek óta </w:t>
      </w:r>
      <w:r w:rsidR="000C2768">
        <w:t xml:space="preserve">a magyarét jóval </w:t>
      </w:r>
      <w:proofErr w:type="gramStart"/>
      <w:r w:rsidR="000C2768">
        <w:t xml:space="preserve">meghaladó  </w:t>
      </w:r>
      <w:r>
        <w:t>ütemének</w:t>
      </w:r>
      <w:proofErr w:type="gramEnd"/>
      <w:r>
        <w:t xml:space="preserve">. </w:t>
      </w:r>
    </w:p>
    <w:p w:rsidR="00AA0B21" w:rsidRPr="00AA0B21" w:rsidRDefault="008522E2" w:rsidP="00AA0B21">
      <w:r>
        <w:rPr>
          <w:b/>
          <w:color w:val="FF0000"/>
          <w:u w:val="single"/>
        </w:rPr>
        <w:t>6</w:t>
      </w:r>
      <w:r w:rsidR="00BB50B1" w:rsidRPr="003D1389">
        <w:rPr>
          <w:b/>
          <w:color w:val="FF0000"/>
          <w:u w:val="single"/>
        </w:rPr>
        <w:t>.</w:t>
      </w:r>
      <w:r w:rsidR="00BB50B1" w:rsidRPr="003D1389">
        <w:rPr>
          <w:color w:val="FF0000"/>
        </w:rPr>
        <w:t xml:space="preserve"> </w:t>
      </w:r>
      <w:r w:rsidR="00AA0B21" w:rsidRPr="003D1389">
        <w:rPr>
          <w:b/>
          <w:color w:val="FF0000"/>
        </w:rPr>
        <w:t>Ha a béremelés várt pozitív eredményei beigazolódnak, jobban megteremtődik a munkáltatói érdekeltség is a folytatásban</w:t>
      </w:r>
      <w:r w:rsidR="00AA0B21" w:rsidRPr="003D1389">
        <w:rPr>
          <w:color w:val="FF0000"/>
        </w:rPr>
        <w:t>.</w:t>
      </w:r>
      <w:r w:rsidR="00AA0B21" w:rsidRPr="00AA0B21">
        <w:t xml:space="preserve"> </w:t>
      </w:r>
      <w:r w:rsidR="00AA0B21" w:rsidRPr="000C2768">
        <w:rPr>
          <w:b/>
          <w:bCs/>
        </w:rPr>
        <w:t xml:space="preserve">A bérfelzárkóztatás </w:t>
      </w:r>
      <w:r w:rsidR="00AA0B21" w:rsidRPr="000C2768">
        <w:rPr>
          <w:b/>
          <w:bCs/>
          <w:u w:val="single"/>
        </w:rPr>
        <w:t>fenntarthatósága</w:t>
      </w:r>
      <w:r w:rsidR="00AA0B21" w:rsidRPr="000C2768">
        <w:rPr>
          <w:b/>
          <w:bCs/>
        </w:rPr>
        <w:t xml:space="preserve"> </w:t>
      </w:r>
      <w:r w:rsidR="00AA0B21" w:rsidRPr="00AA0B21">
        <w:rPr>
          <w:b/>
          <w:bCs/>
        </w:rPr>
        <w:t>ugyanis m</w:t>
      </w:r>
      <w:r w:rsidR="00AA0B21">
        <w:rPr>
          <w:b/>
          <w:bCs/>
        </w:rPr>
        <w:t>á</w:t>
      </w:r>
      <w:r w:rsidR="00AA0B21" w:rsidRPr="00AA0B21">
        <w:rPr>
          <w:b/>
          <w:bCs/>
        </w:rPr>
        <w:t>r</w:t>
      </w:r>
      <w:r w:rsidR="00AA0B21">
        <w:rPr>
          <w:b/>
          <w:bCs/>
        </w:rPr>
        <w:t xml:space="preserve"> valóban csak megállapodásos formában, </w:t>
      </w:r>
      <w:proofErr w:type="spellStart"/>
      <w:r w:rsidR="00AA0B21">
        <w:rPr>
          <w:b/>
          <w:bCs/>
        </w:rPr>
        <w:t>tripartit</w:t>
      </w:r>
      <w:proofErr w:type="spellEnd"/>
      <w:r w:rsidR="00AA0B21">
        <w:rPr>
          <w:b/>
          <w:bCs/>
        </w:rPr>
        <w:t xml:space="preserve"> együ</w:t>
      </w:r>
      <w:r w:rsidR="00AA0B21" w:rsidRPr="00AA0B21">
        <w:rPr>
          <w:b/>
          <w:bCs/>
        </w:rPr>
        <w:t>ttm</w:t>
      </w:r>
      <w:r w:rsidR="00AA0B21">
        <w:rPr>
          <w:b/>
          <w:bCs/>
        </w:rPr>
        <w:t>ű</w:t>
      </w:r>
      <w:r w:rsidR="00AA0B21" w:rsidRPr="00AA0B21">
        <w:rPr>
          <w:b/>
          <w:bCs/>
        </w:rPr>
        <w:t>k</w:t>
      </w:r>
      <w:r w:rsidR="00AA0B21">
        <w:rPr>
          <w:b/>
          <w:bCs/>
        </w:rPr>
        <w:t>ö</w:t>
      </w:r>
      <w:r w:rsidR="00AA0B21" w:rsidRPr="00AA0B21">
        <w:rPr>
          <w:b/>
          <w:bCs/>
        </w:rPr>
        <w:t>d</w:t>
      </w:r>
      <w:r w:rsidR="00AA0B21">
        <w:rPr>
          <w:b/>
          <w:bCs/>
        </w:rPr>
        <w:t>é</w:t>
      </w:r>
      <w:r w:rsidR="00AA0B21" w:rsidRPr="00AA0B21">
        <w:rPr>
          <w:b/>
          <w:bCs/>
        </w:rPr>
        <w:t>ssel képzelhető</w:t>
      </w:r>
      <w:r>
        <w:rPr>
          <w:b/>
          <w:bCs/>
        </w:rPr>
        <w:t xml:space="preserve"> el</w:t>
      </w:r>
      <w:r w:rsidR="00AA0B21">
        <w:rPr>
          <w:b/>
          <w:bCs/>
        </w:rPr>
        <w:t>.</w:t>
      </w:r>
    </w:p>
    <w:p w:rsidR="00191038" w:rsidRDefault="008522E2" w:rsidP="00AA0B21">
      <w:r>
        <w:t>A szakszervezetek és a munkáltatók együttműködésé</w:t>
      </w:r>
      <w:r w:rsidR="000C2768">
        <w:t xml:space="preserve">n </w:t>
      </w:r>
      <w:proofErr w:type="gramStart"/>
      <w:r w:rsidR="000C2768">
        <w:t xml:space="preserve">belül  </w:t>
      </w:r>
      <w:r>
        <w:t>k</w:t>
      </w:r>
      <w:r w:rsidR="00AA0B21" w:rsidRPr="00AA0B21">
        <w:t>ülönösen</w:t>
      </w:r>
      <w:proofErr w:type="gramEnd"/>
      <w:r w:rsidR="00AA0B21" w:rsidRPr="00AA0B21">
        <w:t xml:space="preserve"> fontos </w:t>
      </w:r>
      <w:r w:rsidR="00AA0B21" w:rsidRPr="00AA0B21">
        <w:rPr>
          <w:b/>
        </w:rPr>
        <w:t>a képzés és a</w:t>
      </w:r>
      <w:r w:rsidR="00191038">
        <w:rPr>
          <w:b/>
        </w:rPr>
        <w:t xml:space="preserve"> konstruktív munkaügyi kapcsolatok  </w:t>
      </w:r>
      <w:r w:rsidR="00AA0B21" w:rsidRPr="00AA0B21">
        <w:t>szerepe</w:t>
      </w:r>
      <w:r w:rsidR="00191038">
        <w:t xml:space="preserve"> a vállalati innovációban, a hatékonyság </w:t>
      </w:r>
      <w:proofErr w:type="spellStart"/>
      <w:r w:rsidR="00191038">
        <w:t>javitásában</w:t>
      </w:r>
      <w:proofErr w:type="spellEnd"/>
      <w:r w:rsidR="00191038">
        <w:t xml:space="preserve">. </w:t>
      </w:r>
    </w:p>
    <w:p w:rsidR="00AA0B21" w:rsidRPr="00AA0B21" w:rsidRDefault="00191038" w:rsidP="00AA0B21">
      <w:r>
        <w:t>A</w:t>
      </w:r>
      <w:r w:rsidR="00FA28E8" w:rsidRPr="00FA28E8">
        <w:rPr>
          <w:b/>
        </w:rPr>
        <w:t xml:space="preserve"> német </w:t>
      </w:r>
      <w:r>
        <w:rPr>
          <w:b/>
        </w:rPr>
        <w:t xml:space="preserve">munkáltatók maguk is hangsúlyozzák az </w:t>
      </w:r>
      <w:r w:rsidR="00FA28E8" w:rsidRPr="00FA28E8">
        <w:rPr>
          <w:b/>
        </w:rPr>
        <w:t>export versenyképesség</w:t>
      </w:r>
      <w:r w:rsidR="00FA28E8">
        <w:rPr>
          <w:b/>
        </w:rPr>
        <w:t xml:space="preserve"> </w:t>
      </w:r>
      <w:r>
        <w:rPr>
          <w:b/>
        </w:rPr>
        <w:t xml:space="preserve">alkotóelemei </w:t>
      </w:r>
      <w:proofErr w:type="gramStart"/>
      <w:r>
        <w:rPr>
          <w:b/>
        </w:rPr>
        <w:t xml:space="preserve">között </w:t>
      </w:r>
      <w:r w:rsidR="00FA28E8">
        <w:rPr>
          <w:b/>
        </w:rPr>
        <w:t xml:space="preserve"> </w:t>
      </w:r>
      <w:r w:rsidR="00AA0B21" w:rsidRPr="00AA0B21">
        <w:t>a</w:t>
      </w:r>
      <w:proofErr w:type="gramEnd"/>
      <w:r w:rsidR="00AA0B21" w:rsidRPr="00AA0B21">
        <w:t xml:space="preserve"> </w:t>
      </w:r>
      <w:r w:rsidR="00AA0B21" w:rsidRPr="00191038">
        <w:rPr>
          <w:b/>
        </w:rPr>
        <w:t>szakszervezeti részvétellel</w:t>
      </w:r>
      <w:r w:rsidR="00AA0B21" w:rsidRPr="00AA0B21">
        <w:t xml:space="preserve"> felügyelt és </w:t>
      </w:r>
      <w:r>
        <w:t xml:space="preserve">folyamatosan korszerűsített </w:t>
      </w:r>
      <w:r w:rsidR="00AA0B21" w:rsidRPr="00AA0B21">
        <w:t xml:space="preserve"> duális képzés </w:t>
      </w:r>
      <w:r>
        <w:t>jelentőségét, valamint a</w:t>
      </w:r>
      <w:r w:rsidR="00AA0B21" w:rsidRPr="00AA0B21">
        <w:t xml:space="preserve"> </w:t>
      </w:r>
      <w:proofErr w:type="spellStart"/>
      <w:r w:rsidR="00AA0B21" w:rsidRPr="00AA0B21">
        <w:t>mit-bestimmung</w:t>
      </w:r>
      <w:proofErr w:type="spellEnd"/>
      <w:r w:rsidR="000C2768">
        <w:t xml:space="preserve"> intézményrendszerének előnyeit</w:t>
      </w:r>
      <w:r w:rsidR="00355BC9">
        <w:t xml:space="preserve">, azaz  </w:t>
      </w:r>
      <w:r w:rsidR="000C2768">
        <w:t xml:space="preserve">az </w:t>
      </w:r>
      <w:r w:rsidR="00355BC9">
        <w:t>együttdöntés</w:t>
      </w:r>
      <w:r>
        <w:t xml:space="preserve"> elnevezéssel  illetett  </w:t>
      </w:r>
      <w:r w:rsidRPr="00191038">
        <w:rPr>
          <w:b/>
        </w:rPr>
        <w:t>munkavállalói közreműködést</w:t>
      </w:r>
      <w:r>
        <w:t xml:space="preserve"> a vállalatvezetői döntések meghozatalában. </w:t>
      </w:r>
      <w:r w:rsidR="00AA0B21" w:rsidRPr="00AA0B21">
        <w:t xml:space="preserve"> </w:t>
      </w:r>
    </w:p>
    <w:p w:rsidR="00AA0B21" w:rsidRPr="006052EE" w:rsidRDefault="00AA0B21" w:rsidP="006052EE"/>
    <w:p w:rsidR="000B3300" w:rsidRPr="005F5D38" w:rsidRDefault="005F5D38" w:rsidP="000B3300">
      <w:pPr>
        <w:rPr>
          <w:b/>
        </w:rPr>
      </w:pPr>
      <w:bookmarkStart w:id="0" w:name="_GoBack"/>
      <w:r w:rsidRPr="005F5D38">
        <w:rPr>
          <w:b/>
        </w:rPr>
        <w:t>Lajtai György</w:t>
      </w:r>
    </w:p>
    <w:bookmarkEnd w:id="0"/>
    <w:p w:rsidR="005F5D38" w:rsidRPr="000B3300" w:rsidRDefault="005F5D38" w:rsidP="000B3300">
      <w:r>
        <w:t>2015 december</w:t>
      </w:r>
    </w:p>
    <w:p w:rsidR="000B3300" w:rsidRPr="000B3300" w:rsidRDefault="000B3300" w:rsidP="000B3300"/>
    <w:p w:rsidR="006A06F6" w:rsidRDefault="005F5D38"/>
    <w:sectPr w:rsidR="006A06F6" w:rsidSect="005F5D38"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F36"/>
    <w:multiLevelType w:val="hybridMultilevel"/>
    <w:tmpl w:val="E5E65822"/>
    <w:lvl w:ilvl="0" w:tplc="648E3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81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29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C0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A7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25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CC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06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CD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C76DC4"/>
    <w:multiLevelType w:val="hybridMultilevel"/>
    <w:tmpl w:val="6C8CBC8E"/>
    <w:lvl w:ilvl="0" w:tplc="051C7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07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85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29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C8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4C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A9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26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41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C176C9"/>
    <w:multiLevelType w:val="hybridMultilevel"/>
    <w:tmpl w:val="A57C37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3596A"/>
    <w:multiLevelType w:val="hybridMultilevel"/>
    <w:tmpl w:val="FFAC21B2"/>
    <w:lvl w:ilvl="0" w:tplc="26ACD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4D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84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80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2C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2A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A0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64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8E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F9D1BE0"/>
    <w:multiLevelType w:val="hybridMultilevel"/>
    <w:tmpl w:val="4F54D51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00"/>
    <w:rsid w:val="00000566"/>
    <w:rsid w:val="00050F8B"/>
    <w:rsid w:val="0005212D"/>
    <w:rsid w:val="000B3300"/>
    <w:rsid w:val="000C2768"/>
    <w:rsid w:val="000F7E2F"/>
    <w:rsid w:val="00181DD7"/>
    <w:rsid w:val="00191038"/>
    <w:rsid w:val="001C0D5A"/>
    <w:rsid w:val="001F149B"/>
    <w:rsid w:val="00265CBD"/>
    <w:rsid w:val="002E6B4B"/>
    <w:rsid w:val="00344B46"/>
    <w:rsid w:val="00355BC9"/>
    <w:rsid w:val="00386D0D"/>
    <w:rsid w:val="003D1389"/>
    <w:rsid w:val="00491741"/>
    <w:rsid w:val="0049284C"/>
    <w:rsid w:val="00501CBE"/>
    <w:rsid w:val="00566786"/>
    <w:rsid w:val="00570B80"/>
    <w:rsid w:val="005963F6"/>
    <w:rsid w:val="005F5D38"/>
    <w:rsid w:val="006052EE"/>
    <w:rsid w:val="006076BF"/>
    <w:rsid w:val="00735A63"/>
    <w:rsid w:val="007875B9"/>
    <w:rsid w:val="007A5576"/>
    <w:rsid w:val="00842D6A"/>
    <w:rsid w:val="008522E2"/>
    <w:rsid w:val="008C7E39"/>
    <w:rsid w:val="00960B02"/>
    <w:rsid w:val="00A3322E"/>
    <w:rsid w:val="00A40CA6"/>
    <w:rsid w:val="00A54F57"/>
    <w:rsid w:val="00AA0B21"/>
    <w:rsid w:val="00AB2FC0"/>
    <w:rsid w:val="00B61FA9"/>
    <w:rsid w:val="00BB50B1"/>
    <w:rsid w:val="00C328F9"/>
    <w:rsid w:val="00CD42B1"/>
    <w:rsid w:val="00CE599C"/>
    <w:rsid w:val="00D6454E"/>
    <w:rsid w:val="00DE32F2"/>
    <w:rsid w:val="00DF7FEE"/>
    <w:rsid w:val="00F547D9"/>
    <w:rsid w:val="00F95CC6"/>
    <w:rsid w:val="00FA28E8"/>
    <w:rsid w:val="00FB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374C3-3B66-47BF-82AD-BF81D915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330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B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7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8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lajtai gyorgy2</dc:creator>
  <cp:keywords/>
  <dc:description/>
  <cp:lastModifiedBy>lajtai gyorgy2</cp:lastModifiedBy>
  <cp:revision>2</cp:revision>
  <cp:lastPrinted>2015-12-09T20:09:00Z</cp:lastPrinted>
  <dcterms:created xsi:type="dcterms:W3CDTF">2016-02-01T08:08:00Z</dcterms:created>
  <dcterms:modified xsi:type="dcterms:W3CDTF">2016-02-01T08:08:00Z</dcterms:modified>
</cp:coreProperties>
</file>