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97F" w:rsidRPr="004364E5" w:rsidRDefault="00FF6AAD" w:rsidP="00337F22">
      <w:pPr>
        <w:spacing w:line="276" w:lineRule="auto"/>
        <w:jc w:val="center"/>
        <w:rPr>
          <w:rFonts w:asciiTheme="minorHAnsi" w:eastAsia="Calibri" w:hAnsiTheme="minorHAnsi"/>
          <w:b/>
          <w:sz w:val="24"/>
          <w:szCs w:val="24"/>
        </w:rPr>
      </w:pPr>
      <w:r w:rsidRPr="004364E5">
        <w:rPr>
          <w:rFonts w:asciiTheme="minorHAnsi" w:eastAsia="Calibri" w:hAnsiTheme="minorHAnsi"/>
          <w:b/>
          <w:sz w:val="24"/>
          <w:szCs w:val="24"/>
        </w:rPr>
        <w:t xml:space="preserve">A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MOSZ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j</w:t>
      </w:r>
      <w:r w:rsidR="00337F22" w:rsidRPr="004364E5">
        <w:rPr>
          <w:rFonts w:asciiTheme="minorHAnsi" w:eastAsia="Calibri" w:hAnsiTheme="minorHAnsi"/>
          <w:b/>
          <w:sz w:val="24"/>
          <w:szCs w:val="24"/>
        </w:rPr>
        <w:t>avaslat</w:t>
      </w:r>
      <w:r w:rsidRPr="004364E5">
        <w:rPr>
          <w:rFonts w:asciiTheme="minorHAnsi" w:eastAsia="Calibri" w:hAnsiTheme="minorHAnsi"/>
          <w:b/>
          <w:sz w:val="24"/>
          <w:szCs w:val="24"/>
        </w:rPr>
        <w:t>a</w:t>
      </w:r>
      <w:proofErr w:type="spellEnd"/>
      <w:r w:rsidR="00337F22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337F22" w:rsidRPr="004364E5">
        <w:rPr>
          <w:rFonts w:asciiTheme="minorHAnsi" w:eastAsia="Calibri" w:hAnsiTheme="minorHAnsi"/>
          <w:b/>
          <w:sz w:val="24"/>
          <w:szCs w:val="24"/>
        </w:rPr>
        <w:t>és</w:t>
      </w:r>
      <w:proofErr w:type="spellEnd"/>
      <w:r w:rsidR="00337F22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337F22" w:rsidRPr="004364E5">
        <w:rPr>
          <w:rFonts w:asciiTheme="minorHAnsi" w:eastAsia="Calibri" w:hAnsiTheme="minorHAnsi"/>
          <w:b/>
          <w:sz w:val="24"/>
          <w:szCs w:val="24"/>
        </w:rPr>
        <w:t>indoklás</w:t>
      </w:r>
      <w:r w:rsidRPr="004364E5">
        <w:rPr>
          <w:rFonts w:asciiTheme="minorHAnsi" w:eastAsia="Calibri" w:hAnsiTheme="minorHAnsi"/>
          <w:b/>
          <w:sz w:val="24"/>
          <w:szCs w:val="24"/>
        </w:rPr>
        <w:t>a</w:t>
      </w:r>
      <w:proofErr w:type="spellEnd"/>
      <w:r w:rsidR="00337F22" w:rsidRPr="004364E5">
        <w:rPr>
          <w:rFonts w:asciiTheme="minorHAnsi" w:eastAsia="Calibri" w:hAnsiTheme="minorHAnsi"/>
          <w:b/>
          <w:sz w:val="24"/>
          <w:szCs w:val="24"/>
        </w:rPr>
        <w:t xml:space="preserve"> a 2016. </w:t>
      </w:r>
      <w:proofErr w:type="spellStart"/>
      <w:proofErr w:type="gramStart"/>
      <w:r w:rsidR="00337F22" w:rsidRPr="004364E5">
        <w:rPr>
          <w:rFonts w:asciiTheme="minorHAnsi" w:eastAsia="Calibri" w:hAnsiTheme="minorHAnsi"/>
          <w:b/>
          <w:sz w:val="24"/>
          <w:szCs w:val="24"/>
        </w:rPr>
        <w:t>évi</w:t>
      </w:r>
      <w:proofErr w:type="spellEnd"/>
      <w:proofErr w:type="gramEnd"/>
      <w:r w:rsidR="00337F22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337F22" w:rsidRPr="004364E5">
        <w:rPr>
          <w:rFonts w:asciiTheme="minorHAnsi" w:eastAsia="Calibri" w:hAnsiTheme="minorHAnsi"/>
          <w:b/>
          <w:sz w:val="24"/>
          <w:szCs w:val="24"/>
        </w:rPr>
        <w:t>minimábér</w:t>
      </w:r>
      <w:proofErr w:type="spellEnd"/>
      <w:r w:rsidR="00337F22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337F22" w:rsidRPr="004364E5">
        <w:rPr>
          <w:rFonts w:asciiTheme="minorHAnsi" w:eastAsia="Calibri" w:hAnsiTheme="minorHAnsi"/>
          <w:b/>
          <w:sz w:val="24"/>
          <w:szCs w:val="24"/>
        </w:rPr>
        <w:t>emelésekre</w:t>
      </w:r>
      <w:proofErr w:type="spellEnd"/>
    </w:p>
    <w:p w:rsidR="00337F22" w:rsidRPr="004364E5" w:rsidRDefault="00337F22" w:rsidP="00B633E0">
      <w:pPr>
        <w:spacing w:line="276" w:lineRule="auto"/>
        <w:rPr>
          <w:rFonts w:asciiTheme="minorHAnsi" w:eastAsia="Calibri" w:hAnsiTheme="minorHAnsi"/>
          <w:b/>
          <w:sz w:val="24"/>
          <w:szCs w:val="24"/>
        </w:rPr>
      </w:pPr>
    </w:p>
    <w:p w:rsidR="00830173" w:rsidRPr="004364E5" w:rsidRDefault="00830173" w:rsidP="00680893">
      <w:pPr>
        <w:pStyle w:val="Listaszerbekezds"/>
        <w:numPr>
          <w:ilvl w:val="0"/>
          <w:numId w:val="13"/>
        </w:numPr>
        <w:spacing w:line="276" w:lineRule="auto"/>
        <w:rPr>
          <w:rFonts w:asciiTheme="minorHAnsi" w:eastAsia="Calibri" w:hAnsiTheme="minorHAnsi"/>
          <w:b/>
          <w:sz w:val="24"/>
          <w:szCs w:val="24"/>
        </w:rPr>
      </w:pPr>
      <w:r w:rsidRPr="004364E5">
        <w:rPr>
          <w:rFonts w:asciiTheme="minorHAnsi" w:eastAsia="Calibri" w:hAnsiTheme="minorHAnsi"/>
          <w:b/>
          <w:sz w:val="24"/>
          <w:szCs w:val="24"/>
        </w:rPr>
        <w:t xml:space="preserve">A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minimálbér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emelés</w:t>
      </w:r>
      <w:r w:rsidR="00526281" w:rsidRPr="004364E5">
        <w:rPr>
          <w:rFonts w:asciiTheme="minorHAnsi" w:eastAsia="Calibri" w:hAnsiTheme="minorHAnsi"/>
          <w:b/>
          <w:sz w:val="24"/>
          <w:szCs w:val="24"/>
        </w:rPr>
        <w:t>ek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indoklása</w:t>
      </w:r>
      <w:proofErr w:type="spellEnd"/>
    </w:p>
    <w:p w:rsidR="00526281" w:rsidRPr="004364E5" w:rsidRDefault="00526281" w:rsidP="00526281">
      <w:pPr>
        <w:pStyle w:val="Listaszerbekezds"/>
        <w:numPr>
          <w:ilvl w:val="1"/>
          <w:numId w:val="13"/>
        </w:numPr>
        <w:spacing w:line="276" w:lineRule="auto"/>
        <w:rPr>
          <w:rFonts w:asciiTheme="minorHAnsi" w:eastAsia="Calibri" w:hAnsiTheme="minorHAnsi"/>
          <w:b/>
          <w:sz w:val="24"/>
          <w:szCs w:val="24"/>
        </w:rPr>
      </w:pP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Minimálbér</w:t>
      </w:r>
      <w:proofErr w:type="spellEnd"/>
    </w:p>
    <w:p w:rsidR="00830173" w:rsidRPr="004364E5" w:rsidRDefault="00830173" w:rsidP="00830173">
      <w:pPr>
        <w:pStyle w:val="Listaszerbekezds"/>
        <w:numPr>
          <w:ilvl w:val="2"/>
          <w:numId w:val="1"/>
        </w:numPr>
        <w:spacing w:line="276" w:lineRule="auto"/>
        <w:rPr>
          <w:rFonts w:asciiTheme="minorHAnsi" w:eastAsia="Calibri" w:hAnsiTheme="minorHAnsi"/>
          <w:b/>
          <w:sz w:val="24"/>
          <w:szCs w:val="24"/>
        </w:rPr>
      </w:pPr>
      <w:r w:rsidRPr="004364E5">
        <w:rPr>
          <w:rFonts w:asciiTheme="minorHAnsi" w:eastAsia="Calibri" w:hAnsiTheme="minorHAnsi"/>
          <w:b/>
          <w:sz w:val="24"/>
          <w:szCs w:val="24"/>
        </w:rPr>
        <w:t xml:space="preserve">A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  <w:u w:val="single"/>
        </w:rPr>
        <w:t>bruttó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  <w:u w:val="single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  <w:u w:val="single"/>
        </w:rPr>
        <w:t>minimálbér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vásárló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értéke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2010-ben: 60 240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ft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, 2015-ben </w:t>
      </w:r>
      <w:r w:rsidRPr="004364E5">
        <w:rPr>
          <w:rFonts w:asciiTheme="minorHAnsi" w:eastAsia="Calibri" w:hAnsiTheme="minorHAnsi"/>
          <w:b/>
          <w:sz w:val="24"/>
          <w:szCs w:val="24"/>
          <w:u w:val="single"/>
        </w:rPr>
        <w:t xml:space="preserve">a 2010-es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  <w:u w:val="single"/>
        </w:rPr>
        <w:t>árakon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  <w:u w:val="single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számolva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 61 060 Ft, </w:t>
      </w:r>
      <w:proofErr w:type="spellStart"/>
      <w:r w:rsidR="00680893" w:rsidRPr="004364E5">
        <w:rPr>
          <w:rFonts w:asciiTheme="minorHAnsi" w:eastAsia="Calibri" w:hAnsiTheme="minorHAnsi"/>
          <w:b/>
          <w:sz w:val="24"/>
          <w:szCs w:val="24"/>
        </w:rPr>
        <w:t>azaz</w:t>
      </w:r>
      <w:proofErr w:type="spellEnd"/>
      <w:r w:rsidR="00680893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r w:rsidRPr="004364E5">
        <w:rPr>
          <w:rFonts w:asciiTheme="minorHAnsi" w:eastAsia="Calibri" w:hAnsiTheme="minorHAnsi"/>
          <w:b/>
          <w:sz w:val="24"/>
          <w:szCs w:val="24"/>
        </w:rPr>
        <w:t xml:space="preserve">1000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ft-</w:t>
      </w:r>
      <w:r w:rsidR="005F4F36" w:rsidRPr="004364E5">
        <w:rPr>
          <w:rFonts w:asciiTheme="minorHAnsi" w:eastAsia="Calibri" w:hAnsiTheme="minorHAnsi"/>
          <w:b/>
          <w:sz w:val="24"/>
          <w:szCs w:val="24"/>
        </w:rPr>
        <w:t>nál</w:t>
      </w:r>
      <w:proofErr w:type="spellEnd"/>
      <w:r w:rsidR="005F4F36" w:rsidRPr="004364E5">
        <w:rPr>
          <w:rFonts w:asciiTheme="minorHAnsi" w:eastAsia="Calibri" w:hAnsiTheme="minorHAnsi"/>
          <w:b/>
          <w:sz w:val="24"/>
          <w:szCs w:val="24"/>
        </w:rPr>
        <w:t xml:space="preserve"> is </w:t>
      </w:r>
      <w:proofErr w:type="spellStart"/>
      <w:r w:rsidR="005F4F36" w:rsidRPr="004364E5">
        <w:rPr>
          <w:rFonts w:asciiTheme="minorHAnsi" w:eastAsia="Calibri" w:hAnsiTheme="minorHAnsi"/>
          <w:b/>
          <w:sz w:val="24"/>
          <w:szCs w:val="24"/>
        </w:rPr>
        <w:t>k</w:t>
      </w:r>
      <w:r w:rsidR="006E3C3A" w:rsidRPr="004364E5">
        <w:rPr>
          <w:rFonts w:asciiTheme="minorHAnsi" w:eastAsia="Calibri" w:hAnsiTheme="minorHAnsi"/>
          <w:b/>
          <w:sz w:val="24"/>
          <w:szCs w:val="24"/>
        </w:rPr>
        <w:t>e</w:t>
      </w:r>
      <w:r w:rsidR="005F4F36" w:rsidRPr="004364E5">
        <w:rPr>
          <w:rFonts w:asciiTheme="minorHAnsi" w:eastAsia="Calibri" w:hAnsiTheme="minorHAnsi"/>
          <w:b/>
          <w:sz w:val="24"/>
          <w:szCs w:val="24"/>
        </w:rPr>
        <w:t>vesebb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a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vásárlóerő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emelkedés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>,</w:t>
      </w:r>
    </w:p>
    <w:p w:rsidR="00830173" w:rsidRPr="004364E5" w:rsidRDefault="00680893" w:rsidP="00830173">
      <w:pPr>
        <w:pStyle w:val="Listaszerbekezds"/>
        <w:numPr>
          <w:ilvl w:val="2"/>
          <w:numId w:val="1"/>
        </w:numPr>
        <w:spacing w:line="276" w:lineRule="auto"/>
        <w:rPr>
          <w:rFonts w:asciiTheme="minorHAnsi" w:eastAsia="Calibri" w:hAnsiTheme="minorHAnsi"/>
          <w:b/>
          <w:sz w:val="24"/>
          <w:szCs w:val="24"/>
        </w:rPr>
      </w:pPr>
      <w:r w:rsidRPr="004364E5">
        <w:rPr>
          <w:rFonts w:asciiTheme="minorHAnsi" w:eastAsia="Calibri" w:hAnsiTheme="minorHAnsi"/>
          <w:b/>
          <w:sz w:val="24"/>
          <w:szCs w:val="24"/>
        </w:rPr>
        <w:t xml:space="preserve">2015-ben </w:t>
      </w:r>
      <w:r w:rsidR="00830173" w:rsidRPr="004364E5">
        <w:rPr>
          <w:rFonts w:asciiTheme="minorHAnsi" w:eastAsia="Calibri" w:hAnsiTheme="minorHAnsi"/>
          <w:b/>
          <w:sz w:val="24"/>
          <w:szCs w:val="24"/>
        </w:rPr>
        <w:t>a</w:t>
      </w:r>
      <w:r w:rsidR="00E14978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E14978" w:rsidRPr="004364E5">
        <w:rPr>
          <w:rFonts w:asciiTheme="minorHAnsi" w:eastAsia="Calibri" w:hAnsiTheme="minorHAnsi"/>
          <w:b/>
          <w:sz w:val="24"/>
          <w:szCs w:val="24"/>
        </w:rPr>
        <w:t>minimálbér</w:t>
      </w:r>
      <w:proofErr w:type="spellEnd"/>
      <w:r w:rsidR="00E14978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E14978" w:rsidRPr="004364E5">
        <w:rPr>
          <w:rFonts w:asciiTheme="minorHAnsi" w:eastAsia="Calibri" w:hAnsiTheme="minorHAnsi"/>
          <w:b/>
          <w:sz w:val="24"/>
          <w:szCs w:val="24"/>
        </w:rPr>
        <w:t>nettó</w:t>
      </w:r>
      <w:proofErr w:type="spellEnd"/>
      <w:r w:rsidR="00E14978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E14978" w:rsidRPr="004364E5">
        <w:rPr>
          <w:rFonts w:asciiTheme="minorHAnsi" w:eastAsia="Calibri" w:hAnsiTheme="minorHAnsi"/>
          <w:b/>
          <w:sz w:val="24"/>
          <w:szCs w:val="24"/>
        </w:rPr>
        <w:t>összegének</w:t>
      </w:r>
      <w:proofErr w:type="spellEnd"/>
      <w:r w:rsidR="00E14978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E14978" w:rsidRPr="004364E5">
        <w:rPr>
          <w:rFonts w:asciiTheme="minorHAnsi" w:eastAsia="Calibri" w:hAnsiTheme="minorHAnsi"/>
          <w:b/>
          <w:sz w:val="24"/>
          <w:szCs w:val="24"/>
        </w:rPr>
        <w:t>az</w:t>
      </w:r>
      <w:proofErr w:type="spellEnd"/>
      <w:r w:rsidR="00E14978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E14978" w:rsidRPr="004364E5">
        <w:rPr>
          <w:rFonts w:asciiTheme="minorHAnsi" w:eastAsia="Calibri" w:hAnsiTheme="minorHAnsi"/>
          <w:b/>
          <w:sz w:val="24"/>
          <w:szCs w:val="24"/>
        </w:rPr>
        <w:t>elmaradása</w:t>
      </w:r>
      <w:proofErr w:type="spellEnd"/>
      <w:r w:rsidR="00E14978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E14978" w:rsidRPr="004364E5">
        <w:rPr>
          <w:rFonts w:asciiTheme="minorHAnsi" w:eastAsia="Calibri" w:hAnsiTheme="minorHAnsi"/>
          <w:b/>
          <w:sz w:val="24"/>
          <w:szCs w:val="24"/>
        </w:rPr>
        <w:t>az</w:t>
      </w:r>
      <w:proofErr w:type="spellEnd"/>
      <w:r w:rsidR="00E14978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E14978" w:rsidRPr="004364E5">
        <w:rPr>
          <w:rFonts w:asciiTheme="minorHAnsi" w:eastAsia="Calibri" w:hAnsiTheme="minorHAnsi"/>
          <w:b/>
          <w:sz w:val="24"/>
          <w:szCs w:val="24"/>
        </w:rPr>
        <w:t>erre</w:t>
      </w:r>
      <w:proofErr w:type="spellEnd"/>
      <w:r w:rsidR="00E14978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E14978" w:rsidRPr="004364E5">
        <w:rPr>
          <w:rFonts w:asciiTheme="minorHAnsi" w:eastAsia="Calibri" w:hAnsiTheme="minorHAnsi"/>
          <w:b/>
          <w:sz w:val="24"/>
          <w:szCs w:val="24"/>
        </w:rPr>
        <w:t>az</w:t>
      </w:r>
      <w:proofErr w:type="spellEnd"/>
      <w:r w:rsidR="00E14978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E14978" w:rsidRPr="004364E5">
        <w:rPr>
          <w:rFonts w:asciiTheme="minorHAnsi" w:eastAsia="Calibri" w:hAnsiTheme="minorHAnsi"/>
          <w:b/>
          <w:sz w:val="24"/>
          <w:szCs w:val="24"/>
        </w:rPr>
        <w:t>évre</w:t>
      </w:r>
      <w:proofErr w:type="spellEnd"/>
      <w:r w:rsidR="00E14978" w:rsidRPr="004364E5">
        <w:rPr>
          <w:rFonts w:asciiTheme="minorHAnsi" w:eastAsia="Calibri" w:hAnsiTheme="minorHAnsi"/>
          <w:b/>
          <w:sz w:val="24"/>
          <w:szCs w:val="24"/>
        </w:rPr>
        <w:t xml:space="preserve">  </w:t>
      </w:r>
      <w:r w:rsidR="00830173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becsült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830173" w:rsidRPr="004364E5">
        <w:rPr>
          <w:rFonts w:asciiTheme="minorHAnsi" w:eastAsia="Calibri" w:hAnsiTheme="minorHAnsi"/>
          <w:b/>
          <w:sz w:val="24"/>
          <w:szCs w:val="24"/>
        </w:rPr>
        <w:t>létminimumtól</w:t>
      </w:r>
      <w:proofErr w:type="spellEnd"/>
      <w:r w:rsidR="00830173" w:rsidRPr="004364E5">
        <w:rPr>
          <w:rFonts w:asciiTheme="minorHAnsi" w:eastAsia="Calibri" w:hAnsiTheme="minorHAnsi"/>
          <w:b/>
          <w:sz w:val="24"/>
          <w:szCs w:val="24"/>
        </w:rPr>
        <w:t xml:space="preserve"> (</w:t>
      </w:r>
      <w:proofErr w:type="spellStart"/>
      <w:r w:rsidR="00830173" w:rsidRPr="004364E5">
        <w:rPr>
          <w:rFonts w:asciiTheme="minorHAnsi" w:eastAsia="Calibri" w:hAnsiTheme="minorHAnsi"/>
          <w:b/>
          <w:sz w:val="24"/>
          <w:szCs w:val="24"/>
        </w:rPr>
        <w:t>nevezhetjük</w:t>
      </w:r>
      <w:proofErr w:type="spellEnd"/>
      <w:r w:rsidR="00830173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830173" w:rsidRPr="004364E5">
        <w:rPr>
          <w:rFonts w:asciiTheme="minorHAnsi" w:eastAsia="Calibri" w:hAnsiTheme="minorHAnsi"/>
          <w:b/>
          <w:sz w:val="24"/>
          <w:szCs w:val="24"/>
        </w:rPr>
        <w:t>társadalmi</w:t>
      </w:r>
      <w:proofErr w:type="spellEnd"/>
      <w:r w:rsidR="00830173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830173" w:rsidRPr="004364E5">
        <w:rPr>
          <w:rFonts w:asciiTheme="minorHAnsi" w:eastAsia="Calibri" w:hAnsiTheme="minorHAnsi"/>
          <w:b/>
          <w:sz w:val="24"/>
          <w:szCs w:val="24"/>
        </w:rPr>
        <w:t>minimumnak</w:t>
      </w:r>
      <w:proofErr w:type="spellEnd"/>
      <w:r w:rsidR="00830173" w:rsidRPr="004364E5">
        <w:rPr>
          <w:rFonts w:asciiTheme="minorHAnsi" w:eastAsia="Calibri" w:hAnsiTheme="minorHAnsi"/>
          <w:b/>
          <w:sz w:val="24"/>
          <w:szCs w:val="24"/>
        </w:rPr>
        <w:t xml:space="preserve"> is, </w:t>
      </w:r>
      <w:proofErr w:type="spellStart"/>
      <w:r w:rsidR="00830173" w:rsidRPr="004364E5">
        <w:rPr>
          <w:rFonts w:asciiTheme="minorHAnsi" w:eastAsia="Calibri" w:hAnsiTheme="minorHAnsi"/>
          <w:b/>
          <w:sz w:val="24"/>
          <w:szCs w:val="24"/>
        </w:rPr>
        <w:t>ahogyan</w:t>
      </w:r>
      <w:proofErr w:type="spellEnd"/>
      <w:r w:rsidR="00830173" w:rsidRPr="004364E5">
        <w:rPr>
          <w:rFonts w:asciiTheme="minorHAnsi" w:eastAsia="Calibri" w:hAnsiTheme="minorHAnsi"/>
          <w:b/>
          <w:sz w:val="24"/>
          <w:szCs w:val="24"/>
        </w:rPr>
        <w:t xml:space="preserve"> a </w:t>
      </w:r>
      <w:proofErr w:type="spellStart"/>
      <w:r w:rsidR="00830173" w:rsidRPr="004364E5">
        <w:rPr>
          <w:rFonts w:asciiTheme="minorHAnsi" w:eastAsia="Calibri" w:hAnsiTheme="minorHAnsi"/>
          <w:b/>
          <w:sz w:val="24"/>
          <w:szCs w:val="24"/>
        </w:rPr>
        <w:t>KSH</w:t>
      </w:r>
      <w:proofErr w:type="spellEnd"/>
      <w:r w:rsidR="00830173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830173" w:rsidRPr="004364E5">
        <w:rPr>
          <w:rFonts w:asciiTheme="minorHAnsi" w:eastAsia="Calibri" w:hAnsiTheme="minorHAnsi"/>
          <w:b/>
          <w:sz w:val="24"/>
          <w:szCs w:val="24"/>
        </w:rPr>
        <w:t>újabban</w:t>
      </w:r>
      <w:proofErr w:type="spellEnd"/>
      <w:r w:rsidR="00830173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830173" w:rsidRPr="004364E5">
        <w:rPr>
          <w:rFonts w:asciiTheme="minorHAnsi" w:eastAsia="Calibri" w:hAnsiTheme="minorHAnsi"/>
          <w:b/>
          <w:sz w:val="24"/>
          <w:szCs w:val="24"/>
        </w:rPr>
        <w:t>javasolja</w:t>
      </w:r>
      <w:proofErr w:type="spellEnd"/>
      <w:r w:rsidR="00830173" w:rsidRPr="004364E5">
        <w:rPr>
          <w:rFonts w:asciiTheme="minorHAnsi" w:eastAsia="Calibri" w:hAnsiTheme="minorHAnsi"/>
          <w:b/>
          <w:sz w:val="24"/>
          <w:szCs w:val="24"/>
        </w:rPr>
        <w:t>) 19 500 Ft</w:t>
      </w:r>
      <w:r w:rsidR="00E14978" w:rsidRPr="004364E5">
        <w:rPr>
          <w:rFonts w:asciiTheme="minorHAnsi" w:eastAsia="Calibri" w:hAnsiTheme="minorHAnsi"/>
          <w:b/>
          <w:sz w:val="24"/>
          <w:szCs w:val="24"/>
        </w:rPr>
        <w:t xml:space="preserve">, </w:t>
      </w:r>
      <w:proofErr w:type="spellStart"/>
      <w:r w:rsidR="008F68B0" w:rsidRPr="004364E5">
        <w:rPr>
          <w:rFonts w:asciiTheme="minorHAnsi" w:eastAsia="Calibri" w:hAnsiTheme="minorHAnsi"/>
          <w:b/>
          <w:sz w:val="24"/>
          <w:szCs w:val="24"/>
        </w:rPr>
        <w:t>azaz</w:t>
      </w:r>
      <w:proofErr w:type="spellEnd"/>
      <w:r w:rsidR="008F68B0" w:rsidRPr="004364E5">
        <w:rPr>
          <w:rFonts w:asciiTheme="minorHAnsi" w:eastAsia="Calibri" w:hAnsiTheme="minorHAnsi"/>
          <w:b/>
          <w:sz w:val="24"/>
          <w:szCs w:val="24"/>
        </w:rPr>
        <w:t xml:space="preserve"> 22%-</w:t>
      </w:r>
      <w:proofErr w:type="spellStart"/>
      <w:r w:rsidR="008F68B0" w:rsidRPr="004364E5">
        <w:rPr>
          <w:rFonts w:asciiTheme="minorHAnsi" w:eastAsia="Calibri" w:hAnsiTheme="minorHAnsi"/>
          <w:b/>
          <w:sz w:val="24"/>
          <w:szCs w:val="24"/>
        </w:rPr>
        <w:t>os</w:t>
      </w:r>
      <w:proofErr w:type="spellEnd"/>
      <w:r w:rsidR="008F68B0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8F68B0" w:rsidRPr="004364E5">
        <w:rPr>
          <w:rFonts w:asciiTheme="minorHAnsi" w:eastAsia="Calibri" w:hAnsiTheme="minorHAnsi"/>
          <w:b/>
          <w:sz w:val="24"/>
          <w:szCs w:val="24"/>
        </w:rPr>
        <w:t>az</w:t>
      </w:r>
      <w:proofErr w:type="spellEnd"/>
      <w:r w:rsidR="008F68B0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8F68B0" w:rsidRPr="004364E5">
        <w:rPr>
          <w:rFonts w:asciiTheme="minorHAnsi" w:eastAsia="Calibri" w:hAnsiTheme="minorHAnsi"/>
          <w:b/>
          <w:sz w:val="24"/>
          <w:szCs w:val="24"/>
        </w:rPr>
        <w:t>elmaradás</w:t>
      </w:r>
      <w:proofErr w:type="spellEnd"/>
      <w:proofErr w:type="gramStart"/>
      <w:r w:rsidR="008F68B0" w:rsidRPr="004364E5">
        <w:rPr>
          <w:rFonts w:asciiTheme="minorHAnsi" w:eastAsia="Calibri" w:hAnsiTheme="minorHAnsi"/>
          <w:b/>
          <w:sz w:val="24"/>
          <w:szCs w:val="24"/>
        </w:rPr>
        <w:t xml:space="preserve">, </w:t>
      </w:r>
      <w:r w:rsidR="00C346F7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r w:rsidR="00E14978" w:rsidRPr="004364E5">
        <w:rPr>
          <w:rFonts w:asciiTheme="minorHAnsi" w:eastAsia="Calibri" w:hAnsiTheme="minorHAnsi"/>
          <w:b/>
          <w:sz w:val="24"/>
          <w:szCs w:val="24"/>
        </w:rPr>
        <w:t>2010</w:t>
      </w:r>
      <w:proofErr w:type="gramEnd"/>
      <w:r w:rsidR="00E14978" w:rsidRPr="004364E5">
        <w:rPr>
          <w:rFonts w:asciiTheme="minorHAnsi" w:eastAsia="Calibri" w:hAnsiTheme="minorHAnsi"/>
          <w:b/>
          <w:sz w:val="24"/>
          <w:szCs w:val="24"/>
        </w:rPr>
        <w:t>-</w:t>
      </w:r>
      <w:r w:rsidR="008F68B0" w:rsidRPr="004364E5">
        <w:rPr>
          <w:rFonts w:asciiTheme="minorHAnsi" w:eastAsia="Calibri" w:hAnsiTheme="minorHAnsi"/>
          <w:b/>
          <w:sz w:val="24"/>
          <w:szCs w:val="24"/>
        </w:rPr>
        <w:t xml:space="preserve">óta a </w:t>
      </w:r>
      <w:proofErr w:type="spellStart"/>
      <w:r w:rsidR="008F68B0" w:rsidRPr="004364E5">
        <w:rPr>
          <w:rFonts w:asciiTheme="minorHAnsi" w:eastAsia="Calibri" w:hAnsiTheme="minorHAnsi"/>
          <w:b/>
          <w:sz w:val="24"/>
          <w:szCs w:val="24"/>
        </w:rPr>
        <w:t>különbözet</w:t>
      </w:r>
      <w:proofErr w:type="spellEnd"/>
      <w:r w:rsidR="008F68B0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8F68B0" w:rsidRPr="004364E5">
        <w:rPr>
          <w:rFonts w:asciiTheme="minorHAnsi" w:eastAsia="Calibri" w:hAnsiTheme="minorHAnsi"/>
          <w:b/>
          <w:sz w:val="24"/>
          <w:szCs w:val="24"/>
        </w:rPr>
        <w:t>alig</w:t>
      </w:r>
      <w:proofErr w:type="spellEnd"/>
      <w:r w:rsidR="008F68B0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8F68B0" w:rsidRPr="004364E5">
        <w:rPr>
          <w:rFonts w:asciiTheme="minorHAnsi" w:eastAsia="Calibri" w:hAnsiTheme="minorHAnsi"/>
          <w:b/>
          <w:sz w:val="24"/>
          <w:szCs w:val="24"/>
        </w:rPr>
        <w:t>csökkent</w:t>
      </w:r>
      <w:proofErr w:type="spellEnd"/>
      <w:r w:rsidR="008F68B0" w:rsidRPr="004364E5">
        <w:rPr>
          <w:rFonts w:asciiTheme="minorHAnsi" w:eastAsia="Calibri" w:hAnsiTheme="minorHAnsi"/>
          <w:b/>
          <w:sz w:val="24"/>
          <w:szCs w:val="24"/>
        </w:rPr>
        <w:t xml:space="preserve"> (</w:t>
      </w:r>
      <w:proofErr w:type="spellStart"/>
      <w:r w:rsidR="008F68B0" w:rsidRPr="004364E5">
        <w:rPr>
          <w:rFonts w:asciiTheme="minorHAnsi" w:eastAsia="Calibri" w:hAnsiTheme="minorHAnsi"/>
          <w:b/>
          <w:sz w:val="24"/>
          <w:szCs w:val="24"/>
        </w:rPr>
        <w:t>akkor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r w:rsidR="008F68B0" w:rsidRPr="004364E5">
        <w:rPr>
          <w:rFonts w:asciiTheme="minorHAnsi" w:eastAsia="Calibri" w:hAnsiTheme="minorHAnsi"/>
          <w:b/>
          <w:sz w:val="24"/>
          <w:szCs w:val="24"/>
        </w:rPr>
        <w:t xml:space="preserve">  23%-</w:t>
      </w:r>
      <w:proofErr w:type="spellStart"/>
      <w:r w:rsidR="008F68B0" w:rsidRPr="004364E5">
        <w:rPr>
          <w:rFonts w:asciiTheme="minorHAnsi" w:eastAsia="Calibri" w:hAnsiTheme="minorHAnsi"/>
          <w:b/>
          <w:sz w:val="24"/>
          <w:szCs w:val="24"/>
        </w:rPr>
        <w:t>os</w:t>
      </w:r>
      <w:proofErr w:type="spellEnd"/>
      <w:r w:rsidR="008F68B0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r w:rsidR="00830173" w:rsidRPr="004364E5">
        <w:rPr>
          <w:rFonts w:asciiTheme="minorHAnsi" w:eastAsia="Calibri" w:hAnsiTheme="minorHAnsi"/>
          <w:b/>
          <w:sz w:val="24"/>
          <w:szCs w:val="24"/>
        </w:rPr>
        <w:t xml:space="preserve"> volt</w:t>
      </w:r>
      <w:r w:rsidR="00E14978" w:rsidRPr="004364E5">
        <w:rPr>
          <w:rFonts w:asciiTheme="minorHAnsi" w:eastAsia="Calibri" w:hAnsiTheme="minorHAnsi"/>
          <w:b/>
          <w:sz w:val="24"/>
          <w:szCs w:val="24"/>
        </w:rPr>
        <w:t xml:space="preserve"> a </w:t>
      </w:r>
      <w:proofErr w:type="spellStart"/>
      <w:r w:rsidR="00E14978" w:rsidRPr="004364E5">
        <w:rPr>
          <w:rFonts w:asciiTheme="minorHAnsi" w:eastAsia="Calibri" w:hAnsiTheme="minorHAnsi"/>
          <w:b/>
          <w:sz w:val="24"/>
          <w:szCs w:val="24"/>
        </w:rPr>
        <w:t>lemaradás</w:t>
      </w:r>
      <w:proofErr w:type="spellEnd"/>
      <w:r w:rsidR="008F68B0" w:rsidRPr="004364E5">
        <w:rPr>
          <w:rFonts w:asciiTheme="minorHAnsi" w:eastAsia="Calibri" w:hAnsiTheme="minorHAnsi"/>
          <w:b/>
          <w:sz w:val="24"/>
          <w:szCs w:val="24"/>
        </w:rPr>
        <w:t>)</w:t>
      </w:r>
      <w:r w:rsidR="00E14978" w:rsidRPr="004364E5">
        <w:rPr>
          <w:rFonts w:asciiTheme="minorHAnsi" w:eastAsia="Calibri" w:hAnsiTheme="minorHAnsi"/>
          <w:b/>
          <w:sz w:val="24"/>
          <w:szCs w:val="24"/>
        </w:rPr>
        <w:t xml:space="preserve">. </w:t>
      </w:r>
    </w:p>
    <w:p w:rsidR="00830173" w:rsidRPr="004364E5" w:rsidRDefault="00E14978" w:rsidP="00830173">
      <w:pPr>
        <w:pStyle w:val="Listaszerbekezds"/>
        <w:numPr>
          <w:ilvl w:val="2"/>
          <w:numId w:val="1"/>
        </w:numPr>
        <w:spacing w:line="276" w:lineRule="auto"/>
        <w:rPr>
          <w:rFonts w:asciiTheme="minorHAnsi" w:eastAsia="Calibri" w:hAnsiTheme="minorHAnsi"/>
          <w:b/>
          <w:sz w:val="24"/>
          <w:szCs w:val="24"/>
        </w:rPr>
      </w:pPr>
      <w:r w:rsidRPr="004364E5">
        <w:rPr>
          <w:rFonts w:asciiTheme="minorHAnsi" w:eastAsia="Calibri" w:hAnsiTheme="minorHAnsi"/>
          <w:b/>
          <w:sz w:val="24"/>
          <w:szCs w:val="24"/>
          <w:u w:val="single"/>
        </w:rPr>
        <w:t>A</w:t>
      </w:r>
      <w:r w:rsidR="00830173" w:rsidRPr="004364E5">
        <w:rPr>
          <w:rFonts w:asciiTheme="minorHAnsi" w:eastAsia="Calibri" w:hAnsiTheme="minorHAnsi"/>
          <w:b/>
          <w:sz w:val="24"/>
          <w:szCs w:val="24"/>
          <w:u w:val="single"/>
        </w:rPr>
        <w:t xml:space="preserve"> </w:t>
      </w:r>
      <w:proofErr w:type="spellStart"/>
      <w:r w:rsidR="00830173" w:rsidRPr="004364E5">
        <w:rPr>
          <w:rFonts w:asciiTheme="minorHAnsi" w:eastAsia="Calibri" w:hAnsiTheme="minorHAnsi"/>
          <w:b/>
          <w:sz w:val="24"/>
          <w:szCs w:val="24"/>
          <w:u w:val="single"/>
        </w:rPr>
        <w:t>javasolt</w:t>
      </w:r>
      <w:proofErr w:type="spellEnd"/>
      <w:r w:rsidR="00830173" w:rsidRPr="004364E5">
        <w:rPr>
          <w:rFonts w:asciiTheme="minorHAnsi" w:eastAsia="Calibri" w:hAnsiTheme="minorHAnsi"/>
          <w:b/>
          <w:sz w:val="24"/>
          <w:szCs w:val="24"/>
          <w:u w:val="single"/>
        </w:rPr>
        <w:t xml:space="preserve"> </w:t>
      </w:r>
      <w:proofErr w:type="spellStart"/>
      <w:r w:rsidR="00830173" w:rsidRPr="004364E5">
        <w:rPr>
          <w:rFonts w:asciiTheme="minorHAnsi" w:eastAsia="Calibri" w:hAnsiTheme="minorHAnsi"/>
          <w:b/>
          <w:sz w:val="24"/>
          <w:szCs w:val="24"/>
          <w:u w:val="single"/>
        </w:rPr>
        <w:t>emelés</w:t>
      </w:r>
      <w:proofErr w:type="spellEnd"/>
      <w:r w:rsidR="00830173" w:rsidRPr="004364E5">
        <w:rPr>
          <w:rFonts w:asciiTheme="minorHAnsi" w:eastAsia="Calibri" w:hAnsiTheme="minorHAnsi"/>
          <w:b/>
          <w:sz w:val="24"/>
          <w:szCs w:val="24"/>
          <w:u w:val="single"/>
        </w:rPr>
        <w:t xml:space="preserve"> </w:t>
      </w:r>
      <w:proofErr w:type="spellStart"/>
      <w:r w:rsidR="00830173" w:rsidRPr="004364E5">
        <w:rPr>
          <w:rFonts w:asciiTheme="minorHAnsi" w:eastAsia="Calibri" w:hAnsiTheme="minorHAnsi"/>
          <w:b/>
          <w:sz w:val="24"/>
          <w:szCs w:val="24"/>
          <w:u w:val="single"/>
        </w:rPr>
        <w:t>után</w:t>
      </w:r>
      <w:proofErr w:type="spellEnd"/>
      <w:r w:rsidR="00830173" w:rsidRPr="004364E5">
        <w:rPr>
          <w:rFonts w:asciiTheme="minorHAnsi" w:eastAsia="Calibri" w:hAnsiTheme="minorHAnsi"/>
          <w:b/>
          <w:sz w:val="24"/>
          <w:szCs w:val="24"/>
        </w:rPr>
        <w:t xml:space="preserve"> a </w:t>
      </w:r>
      <w:proofErr w:type="spellStart"/>
      <w:r w:rsidR="00830173" w:rsidRPr="004364E5">
        <w:rPr>
          <w:rFonts w:asciiTheme="minorHAnsi" w:eastAsia="Calibri" w:hAnsiTheme="minorHAnsi"/>
          <w:b/>
          <w:sz w:val="24"/>
          <w:szCs w:val="24"/>
        </w:rPr>
        <w:t>nettó</w:t>
      </w:r>
      <w:proofErr w:type="spellEnd"/>
      <w:r w:rsidR="00830173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830173" w:rsidRPr="004364E5">
        <w:rPr>
          <w:rFonts w:asciiTheme="minorHAnsi" w:eastAsia="Calibri" w:hAnsiTheme="minorHAnsi"/>
          <w:b/>
          <w:sz w:val="24"/>
          <w:szCs w:val="24"/>
        </w:rPr>
        <w:t>minimálbér</w:t>
      </w:r>
      <w:proofErr w:type="spellEnd"/>
      <w:r w:rsidR="00830173" w:rsidRPr="004364E5">
        <w:rPr>
          <w:rFonts w:asciiTheme="minorHAnsi" w:eastAsia="Calibri" w:hAnsiTheme="minorHAnsi"/>
          <w:b/>
          <w:sz w:val="24"/>
          <w:szCs w:val="24"/>
        </w:rPr>
        <w:t xml:space="preserve"> 75 500 Ft-</w:t>
      </w:r>
      <w:proofErr w:type="spellStart"/>
      <w:r w:rsidR="00830173" w:rsidRPr="004364E5">
        <w:rPr>
          <w:rFonts w:asciiTheme="minorHAnsi" w:eastAsia="Calibri" w:hAnsiTheme="minorHAnsi"/>
          <w:b/>
          <w:sz w:val="24"/>
          <w:szCs w:val="24"/>
        </w:rPr>
        <w:t>ra</w:t>
      </w:r>
      <w:proofErr w:type="spellEnd"/>
      <w:r w:rsidR="00830173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830173" w:rsidRPr="004364E5">
        <w:rPr>
          <w:rFonts w:asciiTheme="minorHAnsi" w:eastAsia="Calibri" w:hAnsiTheme="minorHAnsi"/>
          <w:b/>
          <w:sz w:val="24"/>
          <w:szCs w:val="24"/>
        </w:rPr>
        <w:t>nőne</w:t>
      </w:r>
      <w:proofErr w:type="spellEnd"/>
      <w:r w:rsidR="00830173" w:rsidRPr="004364E5">
        <w:rPr>
          <w:rFonts w:asciiTheme="minorHAnsi" w:eastAsia="Calibri" w:hAnsiTheme="minorHAnsi"/>
          <w:b/>
          <w:sz w:val="24"/>
          <w:szCs w:val="24"/>
        </w:rPr>
        <w:t xml:space="preserve">, a </w:t>
      </w:r>
      <w:proofErr w:type="spellStart"/>
      <w:r w:rsidR="00830173" w:rsidRPr="004364E5">
        <w:rPr>
          <w:rFonts w:asciiTheme="minorHAnsi" w:eastAsia="Calibri" w:hAnsiTheme="minorHAnsi"/>
          <w:b/>
          <w:sz w:val="24"/>
          <w:szCs w:val="24"/>
        </w:rPr>
        <w:t>létminimumtól</w:t>
      </w:r>
      <w:proofErr w:type="spellEnd"/>
      <w:r w:rsidR="00830173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830173" w:rsidRPr="004364E5">
        <w:rPr>
          <w:rFonts w:asciiTheme="minorHAnsi" w:eastAsia="Calibri" w:hAnsiTheme="minorHAnsi"/>
          <w:b/>
          <w:sz w:val="24"/>
          <w:szCs w:val="24"/>
        </w:rPr>
        <w:t>történő</w:t>
      </w:r>
      <w:proofErr w:type="spellEnd"/>
      <w:r w:rsidR="00830173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830173" w:rsidRPr="004364E5">
        <w:rPr>
          <w:rFonts w:asciiTheme="minorHAnsi" w:eastAsia="Calibri" w:hAnsiTheme="minorHAnsi"/>
          <w:b/>
          <w:sz w:val="24"/>
          <w:szCs w:val="24"/>
        </w:rPr>
        <w:t>lemaradás</w:t>
      </w:r>
      <w:proofErr w:type="spellEnd"/>
      <w:r w:rsidR="00830173" w:rsidRPr="004364E5">
        <w:rPr>
          <w:rFonts w:asciiTheme="minorHAnsi" w:eastAsia="Calibri" w:hAnsiTheme="minorHAnsi"/>
          <w:b/>
          <w:sz w:val="24"/>
          <w:szCs w:val="24"/>
        </w:rPr>
        <w:t xml:space="preserve"> 14 500 Ft-</w:t>
      </w:r>
      <w:proofErr w:type="spellStart"/>
      <w:r w:rsidR="00830173" w:rsidRPr="004364E5">
        <w:rPr>
          <w:rFonts w:asciiTheme="minorHAnsi" w:eastAsia="Calibri" w:hAnsiTheme="minorHAnsi"/>
          <w:b/>
          <w:sz w:val="24"/>
          <w:szCs w:val="24"/>
        </w:rPr>
        <w:t>ra</w:t>
      </w:r>
      <w:proofErr w:type="spellEnd"/>
      <w:r w:rsidR="00830173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830173" w:rsidRPr="004364E5">
        <w:rPr>
          <w:rFonts w:asciiTheme="minorHAnsi" w:eastAsia="Calibri" w:hAnsiTheme="minorHAnsi"/>
          <w:b/>
          <w:sz w:val="24"/>
          <w:szCs w:val="24"/>
        </w:rPr>
        <w:t>csökkenne</w:t>
      </w:r>
      <w:proofErr w:type="spellEnd"/>
      <w:r w:rsidR="00830173" w:rsidRPr="004364E5">
        <w:rPr>
          <w:rFonts w:asciiTheme="minorHAnsi" w:eastAsia="Calibri" w:hAnsiTheme="minorHAnsi"/>
          <w:b/>
          <w:sz w:val="24"/>
          <w:szCs w:val="24"/>
        </w:rPr>
        <w:t xml:space="preserve">, %-ban </w:t>
      </w:r>
      <w:proofErr w:type="spellStart"/>
      <w:r w:rsidR="00830173" w:rsidRPr="004364E5">
        <w:rPr>
          <w:rFonts w:asciiTheme="minorHAnsi" w:eastAsia="Calibri" w:hAnsiTheme="minorHAnsi"/>
          <w:b/>
          <w:sz w:val="24"/>
          <w:szCs w:val="24"/>
        </w:rPr>
        <w:t>kifejezve</w:t>
      </w:r>
      <w:proofErr w:type="spellEnd"/>
      <w:r w:rsidR="00830173" w:rsidRPr="004364E5">
        <w:rPr>
          <w:rFonts w:asciiTheme="minorHAnsi" w:eastAsia="Calibri" w:hAnsiTheme="minorHAnsi"/>
          <w:b/>
          <w:sz w:val="24"/>
          <w:szCs w:val="24"/>
        </w:rPr>
        <w:t xml:space="preserve"> a </w:t>
      </w:r>
      <w:proofErr w:type="spellStart"/>
      <w:r w:rsidR="00830173" w:rsidRPr="004364E5">
        <w:rPr>
          <w:rFonts w:asciiTheme="minorHAnsi" w:eastAsia="Calibri" w:hAnsiTheme="minorHAnsi"/>
          <w:b/>
          <w:sz w:val="24"/>
          <w:szCs w:val="24"/>
        </w:rPr>
        <w:t>mostani</w:t>
      </w:r>
      <w:proofErr w:type="spellEnd"/>
      <w:r w:rsidR="00830173" w:rsidRPr="004364E5">
        <w:rPr>
          <w:rFonts w:asciiTheme="minorHAnsi" w:eastAsia="Calibri" w:hAnsiTheme="minorHAnsi"/>
          <w:b/>
          <w:sz w:val="24"/>
          <w:szCs w:val="24"/>
        </w:rPr>
        <w:t xml:space="preserve"> 22%-</w:t>
      </w:r>
      <w:proofErr w:type="spellStart"/>
      <w:r w:rsidR="00830173" w:rsidRPr="004364E5">
        <w:rPr>
          <w:rFonts w:asciiTheme="minorHAnsi" w:eastAsia="Calibri" w:hAnsiTheme="minorHAnsi"/>
          <w:b/>
          <w:sz w:val="24"/>
          <w:szCs w:val="24"/>
        </w:rPr>
        <w:t>ról</w:t>
      </w:r>
      <w:proofErr w:type="spellEnd"/>
      <w:r w:rsidR="00830173" w:rsidRPr="004364E5">
        <w:rPr>
          <w:rFonts w:asciiTheme="minorHAnsi" w:eastAsia="Calibri" w:hAnsiTheme="minorHAnsi"/>
          <w:b/>
          <w:sz w:val="24"/>
          <w:szCs w:val="24"/>
        </w:rPr>
        <w:t xml:space="preserve"> 16%-</w:t>
      </w:r>
      <w:proofErr w:type="spellStart"/>
      <w:r w:rsidR="00830173" w:rsidRPr="004364E5">
        <w:rPr>
          <w:rFonts w:asciiTheme="minorHAnsi" w:eastAsia="Calibri" w:hAnsiTheme="minorHAnsi"/>
          <w:b/>
          <w:sz w:val="24"/>
          <w:szCs w:val="24"/>
        </w:rPr>
        <w:t>ra</w:t>
      </w:r>
      <w:r w:rsidRPr="004364E5">
        <w:rPr>
          <w:rFonts w:asciiTheme="minorHAnsi" w:eastAsia="Calibri" w:hAnsiTheme="minorHAnsi"/>
          <w:b/>
          <w:sz w:val="24"/>
          <w:szCs w:val="24"/>
        </w:rPr>
        <w:t>.</w:t>
      </w:r>
      <w:proofErr w:type="spellEnd"/>
    </w:p>
    <w:p w:rsidR="0043791B" w:rsidRPr="004364E5" w:rsidRDefault="0043791B" w:rsidP="0043791B">
      <w:pPr>
        <w:pStyle w:val="Listaszerbekezds"/>
        <w:numPr>
          <w:ilvl w:val="2"/>
          <w:numId w:val="1"/>
        </w:numPr>
        <w:spacing w:line="276" w:lineRule="auto"/>
        <w:rPr>
          <w:rFonts w:asciiTheme="minorHAnsi" w:eastAsia="Calibri" w:hAnsiTheme="minorHAnsi"/>
          <w:b/>
          <w:sz w:val="24"/>
          <w:szCs w:val="24"/>
        </w:rPr>
      </w:pPr>
      <w:r w:rsidRPr="004364E5">
        <w:rPr>
          <w:rFonts w:asciiTheme="minorHAnsi" w:eastAsia="Calibri" w:hAnsiTheme="minorHAnsi"/>
          <w:b/>
          <w:sz w:val="24"/>
          <w:szCs w:val="24"/>
        </w:rPr>
        <w:t xml:space="preserve">A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minimálbér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nettó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proofErr w:type="gramStart"/>
      <w:r w:rsidRPr="004364E5">
        <w:rPr>
          <w:rFonts w:asciiTheme="minorHAnsi" w:eastAsia="Calibri" w:hAnsiTheme="minorHAnsi"/>
          <w:b/>
          <w:sz w:val="24"/>
          <w:szCs w:val="24"/>
        </w:rPr>
        <w:t>összege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 a</w:t>
      </w:r>
      <w:proofErr w:type="gram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nemzetgazdasági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átlagbér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nettó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összegének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50%-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áról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48%-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ára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csökkent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2010-2014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között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, a 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javasolt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emelés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a 2010. </w:t>
      </w:r>
      <w:proofErr w:type="spellStart"/>
      <w:proofErr w:type="gramStart"/>
      <w:r w:rsidRPr="004364E5">
        <w:rPr>
          <w:rFonts w:asciiTheme="minorHAnsi" w:eastAsia="Calibri" w:hAnsiTheme="minorHAnsi"/>
          <w:b/>
          <w:sz w:val="24"/>
          <w:szCs w:val="24"/>
        </w:rPr>
        <w:t>évi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 50</w:t>
      </w:r>
      <w:proofErr w:type="gramEnd"/>
      <w:r w:rsidRPr="004364E5">
        <w:rPr>
          <w:rFonts w:asciiTheme="minorHAnsi" w:eastAsia="Calibri" w:hAnsiTheme="minorHAnsi"/>
          <w:b/>
          <w:sz w:val="24"/>
          <w:szCs w:val="24"/>
        </w:rPr>
        <w:t xml:space="preserve">%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körüli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nettó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bérarányt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állítaná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helyre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.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Az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EU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Bizottság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által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javasolt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bérarány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60%.</w:t>
      </w:r>
    </w:p>
    <w:p w:rsidR="008F68B0" w:rsidRPr="004364E5" w:rsidRDefault="008F68B0" w:rsidP="008F68B0">
      <w:pPr>
        <w:pStyle w:val="Listaszerbekezds"/>
        <w:spacing w:line="276" w:lineRule="auto"/>
        <w:ind w:left="2160"/>
        <w:rPr>
          <w:rFonts w:asciiTheme="minorHAnsi" w:eastAsia="Calibri" w:hAnsiTheme="minorHAnsi"/>
          <w:b/>
          <w:sz w:val="24"/>
          <w:szCs w:val="24"/>
        </w:rPr>
      </w:pPr>
    </w:p>
    <w:p w:rsidR="00680893" w:rsidRPr="004364E5" w:rsidRDefault="00680893" w:rsidP="00526281">
      <w:pPr>
        <w:pStyle w:val="Listaszerbekezds"/>
        <w:numPr>
          <w:ilvl w:val="1"/>
          <w:numId w:val="1"/>
        </w:numPr>
        <w:spacing w:line="276" w:lineRule="auto"/>
        <w:rPr>
          <w:rFonts w:asciiTheme="minorHAnsi" w:eastAsia="Calibri" w:hAnsiTheme="minorHAnsi"/>
          <w:b/>
          <w:sz w:val="24"/>
          <w:szCs w:val="24"/>
        </w:rPr>
      </w:pPr>
      <w:r w:rsidRPr="004364E5">
        <w:rPr>
          <w:rFonts w:asciiTheme="minorHAnsi" w:eastAsia="Calibri" w:hAnsiTheme="minorHAnsi"/>
          <w:b/>
          <w:sz w:val="24"/>
          <w:szCs w:val="24"/>
        </w:rPr>
        <w:t xml:space="preserve">A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szakmai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bérminimum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>:</w:t>
      </w:r>
    </w:p>
    <w:p w:rsidR="00680893" w:rsidRPr="004364E5" w:rsidRDefault="00E14978" w:rsidP="00526281">
      <w:pPr>
        <w:pStyle w:val="Listaszerbekezds"/>
        <w:numPr>
          <w:ilvl w:val="2"/>
          <w:numId w:val="1"/>
        </w:numPr>
        <w:spacing w:line="276" w:lineRule="auto"/>
        <w:rPr>
          <w:rFonts w:asciiTheme="minorHAnsi" w:eastAsia="Calibri" w:hAnsiTheme="minorHAnsi"/>
          <w:b/>
          <w:sz w:val="24"/>
          <w:szCs w:val="24"/>
        </w:rPr>
      </w:pPr>
      <w:r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>A</w:t>
      </w:r>
      <w:r w:rsidR="00680893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 szakmai bérminimum most 8 300 Ft-tal marad el a létminimumtól,  2016-ban a javasolt bruttó 13%-os emelés után, még mindig 2 000 Ft-</w:t>
      </w:r>
      <w:r w:rsidR="00526281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os lesz a </w:t>
      </w:r>
      <w:r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szakmai bérminimum </w:t>
      </w:r>
      <w:r w:rsidR="00526281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>nettó összeg</w:t>
      </w:r>
      <w:r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>ének</w:t>
      </w:r>
      <w:r w:rsidR="00526281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 elmaradása </w:t>
      </w:r>
      <w:r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>a 2016-ra (az inflációval korrigáltan becsült</w:t>
      </w:r>
      <w:r w:rsidR="00680893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 létminimum</w:t>
      </w:r>
      <w:r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>tól</w:t>
      </w:r>
      <w:r w:rsidR="00680893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>, ami önmagában megmagyarázza a növekvő sza</w:t>
      </w:r>
      <w:r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>kmunkás hiányt és elvándorlást.</w:t>
      </w:r>
    </w:p>
    <w:p w:rsidR="00680893" w:rsidRPr="004364E5" w:rsidRDefault="00E14978" w:rsidP="00526281">
      <w:pPr>
        <w:pStyle w:val="Listaszerbekezds"/>
        <w:numPr>
          <w:ilvl w:val="2"/>
          <w:numId w:val="1"/>
        </w:numPr>
        <w:spacing w:line="276" w:lineRule="auto"/>
        <w:rPr>
          <w:rFonts w:asciiTheme="minorHAnsi" w:eastAsia="Calibri" w:hAnsiTheme="minorHAnsi"/>
          <w:b/>
          <w:sz w:val="24"/>
          <w:szCs w:val="24"/>
        </w:rPr>
      </w:pPr>
      <w:r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>A</w:t>
      </w:r>
      <w:r w:rsidR="00680893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 szakmunkás bérminimum magasabb emelési mértékét idokolja továbbá, hogy az adójóváírás kivezetése </w:t>
      </w:r>
      <w:r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>miatt 2012-2013-ban alkalmazott</w:t>
      </w:r>
      <w:r w:rsidR="00680893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 bérkompenzáció a legalacsonyabb bérkategóriák magasabb mértékű bruttó bérnövekedését kényszerítette ki és emiatt a képzetlen dolgozók bruttó átlagbére 2010-2014 között közeledett a szakképzettek átlagbéréhez,</w:t>
      </w:r>
      <w:r w:rsidR="00526281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 relatíve lertékelve a szakképzett munkaerőt.</w:t>
      </w:r>
    </w:p>
    <w:p w:rsidR="008F68B0" w:rsidRPr="004364E5" w:rsidRDefault="008F68B0" w:rsidP="008F68B0">
      <w:pPr>
        <w:pStyle w:val="Listaszerbekezds"/>
        <w:spacing w:line="276" w:lineRule="auto"/>
        <w:ind w:left="2160"/>
        <w:rPr>
          <w:rFonts w:asciiTheme="minorHAnsi" w:eastAsia="Calibri" w:hAnsiTheme="minorHAnsi"/>
          <w:b/>
          <w:sz w:val="24"/>
          <w:szCs w:val="24"/>
        </w:rPr>
      </w:pPr>
    </w:p>
    <w:p w:rsidR="00526281" w:rsidRPr="004364E5" w:rsidRDefault="00526281" w:rsidP="00526281">
      <w:pPr>
        <w:pStyle w:val="Listaszerbekezds"/>
        <w:numPr>
          <w:ilvl w:val="1"/>
          <w:numId w:val="1"/>
        </w:numPr>
        <w:spacing w:line="276" w:lineRule="auto"/>
        <w:rPr>
          <w:rFonts w:asciiTheme="minorHAnsi" w:eastAsia="Calibri" w:hAnsiTheme="minorHAnsi"/>
          <w:b/>
          <w:sz w:val="24"/>
          <w:szCs w:val="24"/>
        </w:rPr>
      </w:pPr>
      <w:r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>Nemzetközi összehasonlítás</w:t>
      </w:r>
    </w:p>
    <w:p w:rsidR="00757276" w:rsidRPr="004364E5" w:rsidRDefault="00526281" w:rsidP="00757276">
      <w:pPr>
        <w:pStyle w:val="Listaszerbekezds"/>
        <w:numPr>
          <w:ilvl w:val="0"/>
          <w:numId w:val="15"/>
        </w:numPr>
        <w:spacing w:line="276" w:lineRule="auto"/>
        <w:rPr>
          <w:rFonts w:asciiTheme="minorHAnsi" w:hAnsiTheme="minorHAnsi"/>
          <w:b/>
          <w:noProof/>
          <w:sz w:val="24"/>
          <w:szCs w:val="24"/>
          <w:lang w:val="hu-HU" w:eastAsia="hu-HU"/>
        </w:rPr>
      </w:pPr>
      <w:r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A magyar minimálbérek nemcsak kelet-nyugati, hanem a V4 összevetésben is növekvő elmaradásban vannak. A lengyel bruttó minimálbér 25%-kal magasabb, a szlovák 11%-kal. </w:t>
      </w:r>
      <w:r w:rsidRPr="004364E5">
        <w:rPr>
          <w:rFonts w:asciiTheme="minorHAnsi" w:hAnsiTheme="minorHAnsi"/>
          <w:b/>
          <w:noProof/>
          <w:sz w:val="24"/>
          <w:szCs w:val="24"/>
          <w:u w:val="single"/>
          <w:lang w:val="hu-HU" w:eastAsia="hu-HU"/>
        </w:rPr>
        <w:t>A nettó összegekben mért elmaradás még nagyobb</w:t>
      </w:r>
      <w:r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, mivel </w:t>
      </w:r>
      <w:r w:rsidRPr="004364E5">
        <w:rPr>
          <w:rFonts w:asciiTheme="minorHAnsi" w:hAnsiTheme="minorHAnsi"/>
          <w:b/>
          <w:noProof/>
          <w:sz w:val="24"/>
          <w:szCs w:val="24"/>
          <w:u w:val="single"/>
          <w:lang w:val="hu-HU" w:eastAsia="hu-HU"/>
        </w:rPr>
        <w:t>a</w:t>
      </w:r>
      <w:r w:rsidR="00757276" w:rsidRPr="004364E5">
        <w:rPr>
          <w:rFonts w:asciiTheme="minorHAnsi" w:hAnsiTheme="minorHAnsi"/>
          <w:b/>
          <w:noProof/>
          <w:sz w:val="24"/>
          <w:szCs w:val="24"/>
          <w:u w:val="single"/>
          <w:lang w:val="hu-HU" w:eastAsia="hu-HU"/>
        </w:rPr>
        <w:t>z alacsony bérű</w:t>
      </w:r>
      <w:r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 </w:t>
      </w:r>
      <w:r w:rsidR="009F3CF6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munkavállalókat </w:t>
      </w:r>
      <w:r w:rsidR="00757276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 </w:t>
      </w:r>
      <w:r w:rsidR="009F3CF6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 </w:t>
      </w:r>
      <w:r w:rsidR="00757276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terhelő </w:t>
      </w:r>
      <w:r w:rsidR="009F3CF6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elvonási ráta (SZJA+ járulékok)  </w:t>
      </w:r>
      <w:r w:rsidR="00757276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>Magyarországon 34,5%, ami jóval magasabb, mint a lengyel, a szlovák, vagy akár a román</w:t>
      </w:r>
      <w:r w:rsidR="00E14978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 elvonási mérték</w:t>
      </w:r>
      <w:r w:rsidR="00757276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, ahol </w:t>
      </w:r>
      <w:r w:rsidR="00E14978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csak </w:t>
      </w:r>
      <w:r w:rsidR="00757276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>20%</w:t>
      </w:r>
      <w:r w:rsidR="00E14978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>-os,</w:t>
      </w:r>
      <w:r w:rsidR="00757276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 vagy ennél is kisebb az elvonás.  </w:t>
      </w:r>
    </w:p>
    <w:p w:rsidR="009F3CF6" w:rsidRPr="004364E5" w:rsidRDefault="009F3CF6" w:rsidP="00A2364D">
      <w:pPr>
        <w:pStyle w:val="Listaszerbekezds"/>
        <w:numPr>
          <w:ilvl w:val="0"/>
          <w:numId w:val="15"/>
        </w:numPr>
        <w:spacing w:line="276" w:lineRule="auto"/>
        <w:rPr>
          <w:rFonts w:asciiTheme="minorHAnsi" w:hAnsiTheme="minorHAnsi"/>
          <w:b/>
          <w:noProof/>
          <w:sz w:val="24"/>
          <w:szCs w:val="24"/>
          <w:lang w:val="hu-HU" w:eastAsia="hu-HU"/>
        </w:rPr>
      </w:pPr>
      <w:r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Az alacsony bérek emelésének a dinamikája is felgyorsult Kelet-Európában: 2014-ben a román minimálbérek </w:t>
      </w:r>
      <w:r w:rsidR="00757276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>13,6%-kal, a cseh 8,3%-kal, a szlovák 8%-kal nőtt</w:t>
      </w:r>
      <w:r w:rsidR="00D24AF3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>ek</w:t>
      </w:r>
      <w:r w:rsidR="00757276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 és sehol nem hallani ennek nyomán gazdasági összeomlásról</w:t>
      </w:r>
      <w:r w:rsidR="00E14978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>, vagy növekvő munkanélküliségről.</w:t>
      </w:r>
      <w:r w:rsidR="00855448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      </w:t>
      </w:r>
    </w:p>
    <w:p w:rsidR="00C346F7" w:rsidRPr="004364E5" w:rsidRDefault="00C346F7" w:rsidP="00A2364D">
      <w:pPr>
        <w:pStyle w:val="Listaszerbekezds"/>
        <w:numPr>
          <w:ilvl w:val="0"/>
          <w:numId w:val="15"/>
        </w:numPr>
        <w:spacing w:line="276" w:lineRule="auto"/>
        <w:rPr>
          <w:rFonts w:asciiTheme="minorHAnsi" w:hAnsiTheme="minorHAnsi"/>
          <w:b/>
          <w:noProof/>
          <w:sz w:val="24"/>
          <w:szCs w:val="24"/>
          <w:lang w:val="hu-HU" w:eastAsia="hu-HU"/>
        </w:rPr>
      </w:pPr>
      <w:r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lastRenderedPageBreak/>
        <w:t xml:space="preserve">A magyar bérszint nemzetközi viszonylatban is kimutatható növekvő elmaradása fokozza az elvándorlást, leginkább éppen a szakképzett, illetve a magasabb képzettségű, de alacsony bérű fiatal munkavállalói körben és növekvő munkaerő hiányt szül. Ezen a helyzeten a családi adókedvezmény sem tud érdemben segíteni, mert a fiatalabb korosztályban a gyerekvállalási hajlandóság egyre jobban kitolódik, és </w:t>
      </w:r>
      <w:r w:rsidR="00D24AF3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>ezért a családi adókedvemény nem képes ellensúlyozni az alacsony nettó béreket.</w:t>
      </w:r>
    </w:p>
    <w:p w:rsidR="002E65CE" w:rsidRPr="004364E5" w:rsidRDefault="002E65CE" w:rsidP="00A2364D">
      <w:pPr>
        <w:pStyle w:val="Listaszerbekezds"/>
        <w:numPr>
          <w:ilvl w:val="0"/>
          <w:numId w:val="15"/>
        </w:numPr>
        <w:spacing w:line="276" w:lineRule="auto"/>
        <w:rPr>
          <w:rFonts w:asciiTheme="minorHAnsi" w:hAnsiTheme="minorHAnsi"/>
          <w:b/>
          <w:noProof/>
          <w:sz w:val="24"/>
          <w:szCs w:val="24"/>
          <w:lang w:val="hu-HU" w:eastAsia="hu-HU"/>
        </w:rPr>
      </w:pPr>
      <w:r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>Az alacsony bérek emelése kiemelten fontos a gazdaásgi növekedés fenntartása érdekében. Az EU források csökkenése miatt az MNB előrejelzés is csökkenő gazdasági növekedést jósol 2016-ra</w:t>
      </w:r>
    </w:p>
    <w:p w:rsidR="00757276" w:rsidRPr="004364E5" w:rsidRDefault="00757276" w:rsidP="00757276">
      <w:pPr>
        <w:spacing w:line="276" w:lineRule="auto"/>
        <w:rPr>
          <w:rFonts w:asciiTheme="minorHAnsi" w:hAnsiTheme="minorHAnsi"/>
          <w:b/>
          <w:noProof/>
          <w:sz w:val="24"/>
          <w:szCs w:val="24"/>
          <w:lang w:val="hu-HU" w:eastAsia="hu-HU"/>
        </w:rPr>
      </w:pPr>
    </w:p>
    <w:p w:rsidR="009F3CF6" w:rsidRPr="004364E5" w:rsidRDefault="00E14978" w:rsidP="00E14978">
      <w:pPr>
        <w:pStyle w:val="Listaszerbekezds"/>
        <w:numPr>
          <w:ilvl w:val="0"/>
          <w:numId w:val="13"/>
        </w:numPr>
        <w:spacing w:line="276" w:lineRule="auto"/>
        <w:rPr>
          <w:rFonts w:asciiTheme="minorHAnsi" w:hAnsiTheme="minorHAnsi"/>
          <w:b/>
          <w:noProof/>
          <w:sz w:val="24"/>
          <w:szCs w:val="24"/>
          <w:lang w:val="hu-HU" w:eastAsia="hu-HU"/>
        </w:rPr>
      </w:pPr>
      <w:r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A </w:t>
      </w:r>
      <w:r w:rsidR="006366BB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minimál </w:t>
      </w:r>
      <w:r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>béremelések forrása</w:t>
      </w:r>
    </w:p>
    <w:p w:rsidR="008E4A25" w:rsidRPr="004364E5" w:rsidRDefault="00E14978" w:rsidP="00E14978">
      <w:pPr>
        <w:pStyle w:val="Listaszerbekezds"/>
        <w:numPr>
          <w:ilvl w:val="1"/>
          <w:numId w:val="13"/>
        </w:numPr>
        <w:spacing w:line="276" w:lineRule="auto"/>
        <w:rPr>
          <w:rFonts w:asciiTheme="minorHAnsi" w:hAnsiTheme="minorHAnsi"/>
          <w:b/>
          <w:noProof/>
          <w:sz w:val="24"/>
          <w:szCs w:val="24"/>
          <w:lang w:val="hu-HU" w:eastAsia="hu-HU"/>
        </w:rPr>
      </w:pPr>
      <w:r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2010 és 2014 között </w:t>
      </w:r>
      <w:r w:rsidRPr="004364E5">
        <w:rPr>
          <w:rFonts w:asciiTheme="minorHAnsi" w:hAnsiTheme="minorHAnsi"/>
          <w:b/>
          <w:noProof/>
          <w:sz w:val="24"/>
          <w:szCs w:val="24"/>
          <w:u w:val="single"/>
          <w:lang w:val="hu-HU" w:eastAsia="hu-HU"/>
        </w:rPr>
        <w:t>a munkabérek aránya a magyar GDP felhasználásában</w:t>
      </w:r>
      <w:r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 2,1%-kal csökkent, miközben az EU átlagában nem változott. </w:t>
      </w:r>
      <w:r w:rsidR="008E4A25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>Számításaink szerint ahhoz, hogy</w:t>
      </w:r>
      <w:r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 </w:t>
      </w:r>
      <w:r w:rsidRPr="004364E5">
        <w:rPr>
          <w:rFonts w:asciiTheme="minorHAnsi" w:hAnsiTheme="minorHAnsi"/>
          <w:b/>
          <w:noProof/>
          <w:sz w:val="24"/>
          <w:szCs w:val="24"/>
          <w:u w:val="single"/>
          <w:lang w:val="hu-HU" w:eastAsia="hu-HU"/>
        </w:rPr>
        <w:t>20</w:t>
      </w:r>
      <w:r w:rsidR="008E4A25" w:rsidRPr="004364E5">
        <w:rPr>
          <w:rFonts w:asciiTheme="minorHAnsi" w:hAnsiTheme="minorHAnsi"/>
          <w:b/>
          <w:noProof/>
          <w:sz w:val="24"/>
          <w:szCs w:val="24"/>
          <w:u w:val="single"/>
          <w:lang w:val="hu-HU" w:eastAsia="hu-HU"/>
        </w:rPr>
        <w:t>14-ben</w:t>
      </w:r>
      <w:r w:rsidR="008E4A25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 is a 2010. évi arányt érje</w:t>
      </w:r>
      <w:r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 el a munkabérek összege a GDP felhasználásában</w:t>
      </w:r>
      <w:r w:rsidR="008E4A25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, </w:t>
      </w:r>
      <w:r w:rsidR="008E4A25" w:rsidRPr="004364E5">
        <w:rPr>
          <w:rFonts w:asciiTheme="minorHAnsi" w:hAnsiTheme="minorHAnsi"/>
          <w:b/>
          <w:noProof/>
          <w:sz w:val="24"/>
          <w:szCs w:val="24"/>
          <w:u w:val="single"/>
          <w:lang w:val="hu-HU" w:eastAsia="hu-HU"/>
        </w:rPr>
        <w:t>234 milliárd forinttal több bért</w:t>
      </w:r>
      <w:r w:rsidR="008E4A25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 kelle</w:t>
      </w:r>
      <w:r w:rsidR="00810C0F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>ne</w:t>
      </w:r>
      <w:r w:rsidR="008E4A25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 </w:t>
      </w:r>
      <w:r w:rsidR="00810C0F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 </w:t>
      </w:r>
      <w:r w:rsidR="008E4A25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>kifizetni a munkavállalóknak. A MOSZ által javasolt minimál bér emelések összes többlet költsége a versenyszférában ennek a 234 milliárd</w:t>
      </w:r>
      <w:r w:rsidR="00D24AF3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 forintnak csak a felét éri el és ekkor még nem számoltunk a 2015-2016. évi GDP növekedés által teremtett többletforrásokkal.</w:t>
      </w:r>
    </w:p>
    <w:p w:rsidR="00E14978" w:rsidRPr="004364E5" w:rsidRDefault="00810C0F" w:rsidP="008E4A25">
      <w:pPr>
        <w:pStyle w:val="Listaszerbekezds"/>
        <w:spacing w:line="276" w:lineRule="auto"/>
        <w:ind w:left="1440"/>
        <w:rPr>
          <w:rFonts w:asciiTheme="minorHAnsi" w:hAnsiTheme="minorHAnsi"/>
          <w:b/>
          <w:noProof/>
          <w:sz w:val="24"/>
          <w:szCs w:val="24"/>
          <w:lang w:val="hu-HU" w:eastAsia="hu-HU"/>
        </w:rPr>
      </w:pPr>
      <w:r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>Tovább színezi a képet</w:t>
      </w:r>
      <w:r w:rsidR="008E4A25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, hogy miközben a munkavállalói kompenzáció aránya a GDP-ben Magyarországon - az európai trendtől eltérően - a  fenti mértékben csökkent, </w:t>
      </w:r>
      <w:r w:rsidR="008E4A25" w:rsidRPr="004364E5">
        <w:rPr>
          <w:rFonts w:asciiTheme="minorHAnsi" w:hAnsiTheme="minorHAnsi"/>
          <w:b/>
          <w:noProof/>
          <w:sz w:val="24"/>
          <w:szCs w:val="24"/>
          <w:u w:val="single"/>
          <w:lang w:val="hu-HU" w:eastAsia="hu-HU"/>
        </w:rPr>
        <w:t>a vállalkozói bruttó jövedelem</w:t>
      </w:r>
      <w:r w:rsidR="008E4A25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 (a hozzáadott érték bérekkel csökkentett összege) 169 milliárd forinttal nőt</w:t>
      </w:r>
      <w:r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>t. Az európai t</w:t>
      </w:r>
      <w:r w:rsidR="00D24AF3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>rend ezen a téren is eltért a magya</w:t>
      </w:r>
      <w:r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rtól, mert  </w:t>
      </w:r>
      <w:r w:rsidR="008E4A25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az EU országok többségében </w:t>
      </w:r>
      <w:r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  csökkent a vállalkozók részesedése a bruttó hazai termékben</w:t>
      </w:r>
      <w:r w:rsidR="008E4A25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>.</w:t>
      </w:r>
      <w:r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 </w:t>
      </w:r>
    </w:p>
    <w:p w:rsidR="00E14978" w:rsidRPr="004364E5" w:rsidRDefault="00810C0F" w:rsidP="00C76D9D">
      <w:pPr>
        <w:pStyle w:val="Listaszerbekezds"/>
        <w:numPr>
          <w:ilvl w:val="1"/>
          <w:numId w:val="13"/>
        </w:numPr>
        <w:spacing w:line="276" w:lineRule="auto"/>
        <w:rPr>
          <w:rFonts w:asciiTheme="minorHAnsi" w:eastAsia="Calibri" w:hAnsiTheme="minorHAnsi"/>
          <w:b/>
          <w:sz w:val="24"/>
          <w:szCs w:val="24"/>
        </w:rPr>
      </w:pPr>
      <w:r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De a bérek aránya nemcsak országosan csökkent a bruttó hazai termékben, hanem </w:t>
      </w:r>
      <w:r w:rsidR="00855448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2011-2014 között </w:t>
      </w:r>
      <w:r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>csökkent azokban a versenyszférához tartozó ágazatokban is, ahol átlag felett alkalmaznak minim</w:t>
      </w:r>
      <w:r w:rsidR="00855448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>álbéren fizetett dolgozókat: így a kereskedelemben, az építőiparban, a feldolgozó iparban.  Számításaink szerint a MOSZ által javasolt minimálbér emelések nyomán</w:t>
      </w:r>
      <w:r w:rsidR="00C83772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>,</w:t>
      </w:r>
      <w:r w:rsidR="00855448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 az említett </w:t>
      </w:r>
      <w:r w:rsidR="00C83772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minimál béreseket átlag feletti arányban foglalkoztató </w:t>
      </w:r>
      <w:r w:rsidR="00855448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ágazatokban  </w:t>
      </w:r>
      <w:r w:rsidR="009E064C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a </w:t>
      </w:r>
      <w:r w:rsidR="00855448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>2011-ik évi bérköltség arányok állnának csak helyre</w:t>
      </w:r>
      <w:r w:rsidR="00C83772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 a 2014-ik évi GDP-re vetítve, azaz </w:t>
      </w:r>
      <w:r w:rsidR="00C83772" w:rsidRPr="004364E5">
        <w:rPr>
          <w:rFonts w:asciiTheme="minorHAnsi" w:hAnsiTheme="minorHAnsi"/>
          <w:b/>
          <w:noProof/>
          <w:sz w:val="24"/>
          <w:szCs w:val="24"/>
          <w:u w:val="single"/>
          <w:lang w:val="hu-HU" w:eastAsia="hu-HU"/>
        </w:rPr>
        <w:t xml:space="preserve">a 2015-2016-ik évi   GDP növekedési dinamika által teremtett többlet forrásokat </w:t>
      </w:r>
      <w:r w:rsidR="009E064C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>ekkor sem</w:t>
      </w:r>
      <w:r w:rsidR="00C83772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 vettük tekintetbe. </w:t>
      </w:r>
    </w:p>
    <w:p w:rsidR="00C83772" w:rsidRPr="004364E5" w:rsidRDefault="00C83772" w:rsidP="00C76D9D">
      <w:pPr>
        <w:pStyle w:val="Listaszerbekezds"/>
        <w:numPr>
          <w:ilvl w:val="1"/>
          <w:numId w:val="13"/>
        </w:numPr>
        <w:spacing w:line="276" w:lineRule="auto"/>
        <w:rPr>
          <w:rFonts w:asciiTheme="minorHAnsi" w:eastAsia="Calibri" w:hAnsiTheme="minorHAnsi"/>
          <w:b/>
          <w:sz w:val="24"/>
          <w:szCs w:val="24"/>
        </w:rPr>
      </w:pPr>
      <w:r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>A fenti összehasonlító adatokból is kitűnő</w:t>
      </w:r>
      <w:r w:rsidR="009E064C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>en</w:t>
      </w:r>
      <w:r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, nemzetközi összevetésben alacsony hazai   bérköltség arány </w:t>
      </w:r>
      <w:r w:rsidRPr="004364E5">
        <w:rPr>
          <w:rFonts w:asciiTheme="minorHAnsi" w:hAnsiTheme="minorHAnsi"/>
          <w:b/>
          <w:noProof/>
          <w:sz w:val="24"/>
          <w:szCs w:val="24"/>
          <w:u w:val="single"/>
          <w:lang w:val="hu-HU" w:eastAsia="hu-HU"/>
        </w:rPr>
        <w:t>kimagasló bérköltségre vetített termelékenységi számokat</w:t>
      </w:r>
      <w:r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 produkál. Az egységnyi bérköltségre jutó magyar feldolgozóipari, kereskedelmi és építőipari  termelékenység 20-40%-kal magasabb, mint az osztrák, aminek egyetlen magyarázata</w:t>
      </w:r>
      <w:r w:rsidR="009E064C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>:</w:t>
      </w:r>
      <w:r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 az alcsony bészínvonal. </w:t>
      </w:r>
    </w:p>
    <w:p w:rsidR="00E27CB6" w:rsidRPr="004364E5" w:rsidRDefault="006366BB" w:rsidP="00C76D9D">
      <w:pPr>
        <w:pStyle w:val="Listaszerbekezds"/>
        <w:numPr>
          <w:ilvl w:val="1"/>
          <w:numId w:val="13"/>
        </w:numPr>
        <w:spacing w:line="276" w:lineRule="auto"/>
        <w:rPr>
          <w:rFonts w:asciiTheme="minorHAnsi" w:eastAsia="Calibri" w:hAnsiTheme="minorHAnsi"/>
          <w:b/>
          <w:sz w:val="24"/>
          <w:szCs w:val="24"/>
        </w:rPr>
      </w:pPr>
      <w:r w:rsidRPr="004364E5">
        <w:rPr>
          <w:rFonts w:asciiTheme="minorHAnsi" w:eastAsia="Calibri" w:hAnsiTheme="minorHAnsi"/>
          <w:b/>
          <w:sz w:val="24"/>
          <w:szCs w:val="24"/>
        </w:rPr>
        <w:t xml:space="preserve">A 2001-2002-ben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végrehajtott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nagyarányú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,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csaknem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50%-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os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minimálbér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emelés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forrásai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között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egy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nemrég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proofErr w:type="gramStart"/>
      <w:r w:rsidRPr="004364E5">
        <w:rPr>
          <w:rFonts w:asciiTheme="minorHAnsi" w:eastAsia="Calibri" w:hAnsiTheme="minorHAnsi"/>
          <w:b/>
          <w:sz w:val="24"/>
          <w:szCs w:val="24"/>
        </w:rPr>
        <w:t>publikált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elemzés</w:t>
      </w:r>
      <w:proofErr w:type="spellEnd"/>
      <w:proofErr w:type="gram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szerint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-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éppen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a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minimálbéreseket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nagyobb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arányban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foglalkoztató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ágazatokban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- a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béremelések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forrásának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9E064C" w:rsidRPr="004364E5">
        <w:rPr>
          <w:rFonts w:asciiTheme="minorHAnsi" w:eastAsia="Calibri" w:hAnsiTheme="minorHAnsi"/>
          <w:b/>
          <w:sz w:val="24"/>
          <w:szCs w:val="24"/>
        </w:rPr>
        <w:lastRenderedPageBreak/>
        <w:t>előteremtésében</w:t>
      </w:r>
      <w:proofErr w:type="spellEnd"/>
      <w:r w:rsidR="009E064C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9E064C" w:rsidRPr="004364E5">
        <w:rPr>
          <w:rFonts w:asciiTheme="minorHAnsi" w:eastAsia="Calibri" w:hAnsiTheme="minorHAnsi"/>
          <w:b/>
          <w:sz w:val="24"/>
          <w:szCs w:val="24"/>
        </w:rPr>
        <w:t>az</w:t>
      </w:r>
      <w:proofErr w:type="spellEnd"/>
      <w:r w:rsidR="009E064C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9E064C" w:rsidRPr="004364E5">
        <w:rPr>
          <w:rFonts w:asciiTheme="minorHAnsi" w:eastAsia="Calibri" w:hAnsiTheme="minorHAnsi"/>
          <w:b/>
          <w:sz w:val="24"/>
          <w:szCs w:val="24"/>
        </w:rPr>
        <w:t>áremelések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is</w:t>
      </w:r>
      <w:r w:rsidR="009E064C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9E064C" w:rsidRPr="004364E5">
        <w:rPr>
          <w:rFonts w:asciiTheme="minorHAnsi" w:eastAsia="Calibri" w:hAnsiTheme="minorHAnsi"/>
          <w:b/>
          <w:sz w:val="24"/>
          <w:szCs w:val="24"/>
        </w:rPr>
        <w:t>szerepet</w:t>
      </w:r>
      <w:proofErr w:type="spellEnd"/>
      <w:r w:rsidR="009E064C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9E064C" w:rsidRPr="004364E5">
        <w:rPr>
          <w:rFonts w:asciiTheme="minorHAnsi" w:eastAsia="Calibri" w:hAnsiTheme="minorHAnsi"/>
          <w:b/>
          <w:sz w:val="24"/>
          <w:szCs w:val="24"/>
        </w:rPr>
        <w:t>játszottak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>.</w:t>
      </w:r>
      <w:r w:rsidR="00E27CB6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E27CB6" w:rsidRPr="004364E5">
        <w:rPr>
          <w:rFonts w:asciiTheme="minorHAnsi" w:eastAsia="Calibri" w:hAnsiTheme="minorHAnsi"/>
          <w:b/>
          <w:sz w:val="24"/>
          <w:szCs w:val="24"/>
        </w:rPr>
        <w:t>Ez</w:t>
      </w:r>
      <w:proofErr w:type="spellEnd"/>
      <w:r w:rsidR="00E27CB6" w:rsidRPr="004364E5">
        <w:rPr>
          <w:rFonts w:asciiTheme="minorHAnsi" w:eastAsia="Calibri" w:hAnsiTheme="minorHAnsi"/>
          <w:b/>
          <w:sz w:val="24"/>
          <w:szCs w:val="24"/>
        </w:rPr>
        <w:t xml:space="preserve"> a </w:t>
      </w:r>
      <w:proofErr w:type="spellStart"/>
      <w:r w:rsidR="00E27CB6" w:rsidRPr="004364E5">
        <w:rPr>
          <w:rFonts w:asciiTheme="minorHAnsi" w:eastAsia="Calibri" w:hAnsiTheme="minorHAnsi"/>
          <w:b/>
          <w:sz w:val="24"/>
          <w:szCs w:val="24"/>
        </w:rPr>
        <w:t>lehetőség</w:t>
      </w:r>
      <w:proofErr w:type="spellEnd"/>
      <w:r w:rsidR="00E27CB6" w:rsidRPr="004364E5">
        <w:rPr>
          <w:rFonts w:asciiTheme="minorHAnsi" w:eastAsia="Calibri" w:hAnsiTheme="minorHAnsi"/>
          <w:b/>
          <w:sz w:val="24"/>
          <w:szCs w:val="24"/>
        </w:rPr>
        <w:t xml:space="preserve">, ma is </w:t>
      </w:r>
      <w:proofErr w:type="spellStart"/>
      <w:r w:rsidR="00E27CB6" w:rsidRPr="004364E5">
        <w:rPr>
          <w:rFonts w:asciiTheme="minorHAnsi" w:eastAsia="Calibri" w:hAnsiTheme="minorHAnsi"/>
          <w:b/>
          <w:sz w:val="24"/>
          <w:szCs w:val="24"/>
        </w:rPr>
        <w:t>felmerülhet</w:t>
      </w:r>
      <w:proofErr w:type="spellEnd"/>
      <w:r w:rsidR="00E27CB6" w:rsidRPr="004364E5">
        <w:rPr>
          <w:rFonts w:asciiTheme="minorHAnsi" w:eastAsia="Calibri" w:hAnsiTheme="minorHAnsi"/>
          <w:b/>
          <w:sz w:val="24"/>
          <w:szCs w:val="24"/>
        </w:rPr>
        <w:t xml:space="preserve">, </w:t>
      </w:r>
      <w:proofErr w:type="spellStart"/>
      <w:proofErr w:type="gramStart"/>
      <w:r w:rsidR="00E27CB6" w:rsidRPr="004364E5">
        <w:rPr>
          <w:rFonts w:asciiTheme="minorHAnsi" w:eastAsia="Calibri" w:hAnsiTheme="minorHAnsi"/>
          <w:b/>
          <w:sz w:val="24"/>
          <w:szCs w:val="24"/>
        </w:rPr>
        <w:t>mivel</w:t>
      </w:r>
      <w:proofErr w:type="spellEnd"/>
      <w:r w:rsidR="00E27CB6" w:rsidRPr="004364E5">
        <w:rPr>
          <w:rFonts w:asciiTheme="minorHAnsi" w:eastAsia="Calibri" w:hAnsiTheme="minorHAnsi"/>
          <w:b/>
          <w:sz w:val="24"/>
          <w:szCs w:val="24"/>
        </w:rPr>
        <w:t xml:space="preserve">  </w:t>
      </w:r>
      <w:proofErr w:type="spellStart"/>
      <w:r w:rsidR="00E27CB6" w:rsidRPr="004364E5">
        <w:rPr>
          <w:rFonts w:asciiTheme="minorHAnsi" w:eastAsia="Calibri" w:hAnsiTheme="minorHAnsi"/>
          <w:b/>
          <w:sz w:val="24"/>
          <w:szCs w:val="24"/>
        </w:rPr>
        <w:t>az</w:t>
      </w:r>
      <w:proofErr w:type="spellEnd"/>
      <w:proofErr w:type="gramEnd"/>
      <w:r w:rsidR="00E27CB6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E27CB6" w:rsidRPr="004364E5">
        <w:rPr>
          <w:rFonts w:asciiTheme="minorHAnsi" w:eastAsia="Calibri" w:hAnsiTheme="minorHAnsi"/>
          <w:b/>
          <w:sz w:val="24"/>
          <w:szCs w:val="24"/>
        </w:rPr>
        <w:t>igen</w:t>
      </w:r>
      <w:proofErr w:type="spellEnd"/>
      <w:r w:rsidR="00E27CB6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E27CB6" w:rsidRPr="004364E5">
        <w:rPr>
          <w:rFonts w:asciiTheme="minorHAnsi" w:eastAsia="Calibri" w:hAnsiTheme="minorHAnsi"/>
          <w:b/>
          <w:sz w:val="24"/>
          <w:szCs w:val="24"/>
        </w:rPr>
        <w:t>alacsony</w:t>
      </w:r>
      <w:proofErr w:type="spellEnd"/>
      <w:r w:rsidR="00E27CB6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E27CB6" w:rsidRPr="004364E5">
        <w:rPr>
          <w:rFonts w:asciiTheme="minorHAnsi" w:eastAsia="Calibri" w:hAnsiTheme="minorHAnsi"/>
          <w:b/>
          <w:sz w:val="24"/>
          <w:szCs w:val="24"/>
        </w:rPr>
        <w:t>inflációs</w:t>
      </w:r>
      <w:proofErr w:type="spellEnd"/>
      <w:r w:rsidR="00E27CB6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E27CB6" w:rsidRPr="004364E5">
        <w:rPr>
          <w:rFonts w:asciiTheme="minorHAnsi" w:eastAsia="Calibri" w:hAnsiTheme="minorHAnsi"/>
          <w:b/>
          <w:sz w:val="24"/>
          <w:szCs w:val="24"/>
        </w:rPr>
        <w:t>környezetben</w:t>
      </w:r>
      <w:proofErr w:type="spellEnd"/>
      <w:r w:rsidR="00E27CB6" w:rsidRPr="004364E5">
        <w:rPr>
          <w:rFonts w:asciiTheme="minorHAnsi" w:eastAsia="Calibri" w:hAnsiTheme="minorHAnsi"/>
          <w:b/>
          <w:sz w:val="24"/>
          <w:szCs w:val="24"/>
        </w:rPr>
        <w:t xml:space="preserve"> a </w:t>
      </w:r>
      <w:proofErr w:type="spellStart"/>
      <w:r w:rsidR="00E27CB6" w:rsidRPr="004364E5">
        <w:rPr>
          <w:rFonts w:asciiTheme="minorHAnsi" w:eastAsia="Calibri" w:hAnsiTheme="minorHAnsi"/>
          <w:b/>
          <w:sz w:val="24"/>
          <w:szCs w:val="24"/>
        </w:rPr>
        <w:t>költség</w:t>
      </w:r>
      <w:proofErr w:type="spellEnd"/>
      <w:r w:rsidR="00E27CB6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E27CB6" w:rsidRPr="004364E5">
        <w:rPr>
          <w:rFonts w:asciiTheme="minorHAnsi" w:eastAsia="Calibri" w:hAnsiTheme="minorHAnsi"/>
          <w:b/>
          <w:sz w:val="24"/>
          <w:szCs w:val="24"/>
        </w:rPr>
        <w:t>inflációs</w:t>
      </w:r>
      <w:proofErr w:type="spellEnd"/>
      <w:r w:rsidR="00E27CB6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E27CB6" w:rsidRPr="004364E5">
        <w:rPr>
          <w:rFonts w:asciiTheme="minorHAnsi" w:eastAsia="Calibri" w:hAnsiTheme="minorHAnsi"/>
          <w:b/>
          <w:sz w:val="24"/>
          <w:szCs w:val="24"/>
        </w:rPr>
        <w:t>hatás</w:t>
      </w:r>
      <w:proofErr w:type="spellEnd"/>
      <w:r w:rsidR="00E27CB6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E27CB6" w:rsidRPr="004364E5">
        <w:rPr>
          <w:rFonts w:asciiTheme="minorHAnsi" w:eastAsia="Calibri" w:hAnsiTheme="minorHAnsi"/>
          <w:b/>
          <w:sz w:val="24"/>
          <w:szCs w:val="24"/>
        </w:rPr>
        <w:t>nem</w:t>
      </w:r>
      <w:proofErr w:type="spellEnd"/>
      <w:r w:rsidR="00E27CB6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E27CB6" w:rsidRPr="004364E5">
        <w:rPr>
          <w:rFonts w:asciiTheme="minorHAnsi" w:eastAsia="Calibri" w:hAnsiTheme="minorHAnsi"/>
          <w:b/>
          <w:sz w:val="24"/>
          <w:szCs w:val="24"/>
        </w:rPr>
        <w:t>tekinthető</w:t>
      </w:r>
      <w:proofErr w:type="spellEnd"/>
      <w:r w:rsidR="00E27CB6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E27CB6" w:rsidRPr="004364E5">
        <w:rPr>
          <w:rFonts w:asciiTheme="minorHAnsi" w:eastAsia="Calibri" w:hAnsiTheme="minorHAnsi"/>
          <w:b/>
          <w:sz w:val="24"/>
          <w:szCs w:val="24"/>
        </w:rPr>
        <w:t>veszélyes</w:t>
      </w:r>
      <w:proofErr w:type="spellEnd"/>
      <w:r w:rsidR="00E27CB6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E27CB6" w:rsidRPr="004364E5">
        <w:rPr>
          <w:rFonts w:asciiTheme="minorHAnsi" w:eastAsia="Calibri" w:hAnsiTheme="minorHAnsi"/>
          <w:b/>
          <w:sz w:val="24"/>
          <w:szCs w:val="24"/>
        </w:rPr>
        <w:t>fenyegetésnek</w:t>
      </w:r>
      <w:proofErr w:type="spellEnd"/>
      <w:r w:rsidR="00E27CB6" w:rsidRPr="004364E5">
        <w:rPr>
          <w:rFonts w:asciiTheme="minorHAnsi" w:eastAsia="Calibri" w:hAnsiTheme="minorHAnsi"/>
          <w:b/>
          <w:sz w:val="24"/>
          <w:szCs w:val="24"/>
        </w:rPr>
        <w:t xml:space="preserve">. </w:t>
      </w:r>
      <w:proofErr w:type="spellStart"/>
      <w:r w:rsidR="00E27CB6" w:rsidRPr="004364E5">
        <w:rPr>
          <w:rFonts w:asciiTheme="minorHAnsi" w:eastAsia="Calibri" w:hAnsiTheme="minorHAnsi"/>
          <w:b/>
          <w:sz w:val="24"/>
          <w:szCs w:val="24"/>
        </w:rPr>
        <w:t>Számításaink</w:t>
      </w:r>
      <w:proofErr w:type="spellEnd"/>
      <w:r w:rsidR="00E27CB6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E27CB6" w:rsidRPr="004364E5">
        <w:rPr>
          <w:rFonts w:asciiTheme="minorHAnsi" w:eastAsia="Calibri" w:hAnsiTheme="minorHAnsi"/>
          <w:b/>
          <w:sz w:val="24"/>
          <w:szCs w:val="24"/>
        </w:rPr>
        <w:t>szerint</w:t>
      </w:r>
      <w:proofErr w:type="spellEnd"/>
      <w:r w:rsidR="00E27CB6" w:rsidRPr="004364E5">
        <w:rPr>
          <w:rFonts w:asciiTheme="minorHAnsi" w:eastAsia="Calibri" w:hAnsiTheme="minorHAnsi"/>
          <w:b/>
          <w:sz w:val="24"/>
          <w:szCs w:val="24"/>
        </w:rPr>
        <w:t xml:space="preserve"> a </w:t>
      </w:r>
      <w:proofErr w:type="spellStart"/>
      <w:r w:rsidR="00E27CB6" w:rsidRPr="004364E5">
        <w:rPr>
          <w:rFonts w:asciiTheme="minorHAnsi" w:eastAsia="Calibri" w:hAnsiTheme="minorHAnsi"/>
          <w:b/>
          <w:sz w:val="24"/>
          <w:szCs w:val="24"/>
        </w:rPr>
        <w:t>minimálbér</w:t>
      </w:r>
      <w:proofErr w:type="spellEnd"/>
      <w:r w:rsidR="00E27CB6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E27CB6" w:rsidRPr="004364E5">
        <w:rPr>
          <w:rFonts w:asciiTheme="minorHAnsi" w:eastAsia="Calibri" w:hAnsiTheme="minorHAnsi"/>
          <w:b/>
          <w:sz w:val="24"/>
          <w:szCs w:val="24"/>
        </w:rPr>
        <w:t>emelések</w:t>
      </w:r>
      <w:proofErr w:type="spellEnd"/>
      <w:r w:rsidR="00E27CB6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E27CB6" w:rsidRPr="004364E5">
        <w:rPr>
          <w:rFonts w:asciiTheme="minorHAnsi" w:eastAsia="Calibri" w:hAnsiTheme="minorHAnsi"/>
          <w:b/>
          <w:sz w:val="24"/>
          <w:szCs w:val="24"/>
        </w:rPr>
        <w:t>többletköltségének</w:t>
      </w:r>
      <w:proofErr w:type="spellEnd"/>
      <w:r w:rsidR="00E27CB6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E27CB6" w:rsidRPr="004364E5">
        <w:rPr>
          <w:rFonts w:asciiTheme="minorHAnsi" w:eastAsia="Calibri" w:hAnsiTheme="minorHAnsi"/>
          <w:b/>
          <w:sz w:val="24"/>
          <w:szCs w:val="24"/>
        </w:rPr>
        <w:t>teljes</w:t>
      </w:r>
      <w:proofErr w:type="spellEnd"/>
      <w:r w:rsidR="00E27CB6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E27CB6" w:rsidRPr="004364E5">
        <w:rPr>
          <w:rFonts w:asciiTheme="minorHAnsi" w:eastAsia="Calibri" w:hAnsiTheme="minorHAnsi"/>
          <w:b/>
          <w:sz w:val="24"/>
          <w:szCs w:val="24"/>
        </w:rPr>
        <w:t>egészében</w:t>
      </w:r>
      <w:proofErr w:type="spellEnd"/>
      <w:r w:rsidR="00E27CB6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E27CB6" w:rsidRPr="004364E5">
        <w:rPr>
          <w:rFonts w:asciiTheme="minorHAnsi" w:eastAsia="Calibri" w:hAnsiTheme="minorHAnsi"/>
          <w:b/>
          <w:sz w:val="24"/>
          <w:szCs w:val="24"/>
        </w:rPr>
        <w:t>történő</w:t>
      </w:r>
      <w:proofErr w:type="spellEnd"/>
      <w:r w:rsidR="00E27CB6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E27CB6" w:rsidRPr="004364E5">
        <w:rPr>
          <w:rFonts w:asciiTheme="minorHAnsi" w:eastAsia="Calibri" w:hAnsiTheme="minorHAnsi"/>
          <w:b/>
          <w:sz w:val="24"/>
          <w:szCs w:val="24"/>
        </w:rPr>
        <w:t>áthárítása</w:t>
      </w:r>
      <w:proofErr w:type="spellEnd"/>
      <w:r w:rsidR="00E27CB6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proofErr w:type="gramStart"/>
      <w:r w:rsidR="00E27CB6" w:rsidRPr="004364E5">
        <w:rPr>
          <w:rFonts w:asciiTheme="minorHAnsi" w:eastAsia="Calibri" w:hAnsiTheme="minorHAnsi"/>
          <w:b/>
          <w:sz w:val="24"/>
          <w:szCs w:val="24"/>
        </w:rPr>
        <w:t>sem</w:t>
      </w:r>
      <w:proofErr w:type="spellEnd"/>
      <w:proofErr w:type="gramEnd"/>
      <w:r w:rsidR="00E27CB6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E27CB6" w:rsidRPr="004364E5">
        <w:rPr>
          <w:rFonts w:asciiTheme="minorHAnsi" w:eastAsia="Calibri" w:hAnsiTheme="minorHAnsi"/>
          <w:b/>
          <w:sz w:val="24"/>
          <w:szCs w:val="24"/>
        </w:rPr>
        <w:t>haladná</w:t>
      </w:r>
      <w:proofErr w:type="spellEnd"/>
      <w:r w:rsidR="00E27CB6" w:rsidRPr="004364E5">
        <w:rPr>
          <w:rFonts w:asciiTheme="minorHAnsi" w:eastAsia="Calibri" w:hAnsiTheme="minorHAnsi"/>
          <w:b/>
          <w:sz w:val="24"/>
          <w:szCs w:val="24"/>
        </w:rPr>
        <w:t xml:space="preserve"> meg </w:t>
      </w:r>
      <w:proofErr w:type="spellStart"/>
      <w:r w:rsidR="00E27CB6" w:rsidRPr="004364E5">
        <w:rPr>
          <w:rFonts w:asciiTheme="minorHAnsi" w:eastAsia="Calibri" w:hAnsiTheme="minorHAnsi"/>
          <w:b/>
          <w:sz w:val="24"/>
          <w:szCs w:val="24"/>
        </w:rPr>
        <w:t>az</w:t>
      </w:r>
      <w:proofErr w:type="spellEnd"/>
      <w:r w:rsidR="00E27CB6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E27CB6" w:rsidRPr="004364E5">
        <w:rPr>
          <w:rFonts w:asciiTheme="minorHAnsi" w:eastAsia="Calibri" w:hAnsiTheme="minorHAnsi"/>
          <w:b/>
          <w:sz w:val="24"/>
          <w:szCs w:val="24"/>
        </w:rPr>
        <w:t>adott</w:t>
      </w:r>
      <w:proofErr w:type="spellEnd"/>
      <w:r w:rsidR="00E27CB6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E27CB6" w:rsidRPr="004364E5">
        <w:rPr>
          <w:rFonts w:asciiTheme="minorHAnsi" w:eastAsia="Calibri" w:hAnsiTheme="minorHAnsi"/>
          <w:b/>
          <w:sz w:val="24"/>
          <w:szCs w:val="24"/>
        </w:rPr>
        <w:t>ágazati</w:t>
      </w:r>
      <w:proofErr w:type="spellEnd"/>
      <w:r w:rsidR="00E27CB6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E27CB6" w:rsidRPr="004364E5">
        <w:rPr>
          <w:rFonts w:asciiTheme="minorHAnsi" w:eastAsia="Calibri" w:hAnsiTheme="minorHAnsi"/>
          <w:b/>
          <w:sz w:val="24"/>
          <w:szCs w:val="24"/>
        </w:rPr>
        <w:t>kibocsátás</w:t>
      </w:r>
      <w:proofErr w:type="spellEnd"/>
      <w:r w:rsidR="00E27CB6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E27CB6" w:rsidRPr="004364E5">
        <w:rPr>
          <w:rFonts w:asciiTheme="minorHAnsi" w:eastAsia="Calibri" w:hAnsiTheme="minorHAnsi"/>
          <w:b/>
          <w:sz w:val="24"/>
          <w:szCs w:val="24"/>
        </w:rPr>
        <w:t>összegének</w:t>
      </w:r>
      <w:proofErr w:type="spellEnd"/>
      <w:r w:rsidR="00E27CB6" w:rsidRPr="004364E5">
        <w:rPr>
          <w:rFonts w:asciiTheme="minorHAnsi" w:eastAsia="Calibri" w:hAnsiTheme="minorHAnsi"/>
          <w:b/>
          <w:sz w:val="24"/>
          <w:szCs w:val="24"/>
        </w:rPr>
        <w:t xml:space="preserve"> a </w:t>
      </w:r>
      <w:proofErr w:type="spellStart"/>
      <w:r w:rsidR="00E27CB6" w:rsidRPr="004364E5">
        <w:rPr>
          <w:rFonts w:asciiTheme="minorHAnsi" w:eastAsia="Calibri" w:hAnsiTheme="minorHAnsi"/>
          <w:b/>
          <w:sz w:val="24"/>
          <w:szCs w:val="24"/>
        </w:rPr>
        <w:t>fél</w:t>
      </w:r>
      <w:proofErr w:type="spellEnd"/>
      <w:r w:rsidR="00E27CB6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E27CB6" w:rsidRPr="004364E5">
        <w:rPr>
          <w:rFonts w:asciiTheme="minorHAnsi" w:eastAsia="Calibri" w:hAnsiTheme="minorHAnsi"/>
          <w:b/>
          <w:sz w:val="24"/>
          <w:szCs w:val="24"/>
        </w:rPr>
        <w:t>százalékát</w:t>
      </w:r>
      <w:proofErr w:type="spellEnd"/>
      <w:r w:rsidR="00E27CB6" w:rsidRPr="004364E5">
        <w:rPr>
          <w:rFonts w:asciiTheme="minorHAnsi" w:eastAsia="Calibri" w:hAnsiTheme="minorHAnsi"/>
          <w:b/>
          <w:sz w:val="24"/>
          <w:szCs w:val="24"/>
        </w:rPr>
        <w:t xml:space="preserve">. </w:t>
      </w:r>
    </w:p>
    <w:p w:rsidR="006366BB" w:rsidRPr="004364E5" w:rsidRDefault="00E27CB6" w:rsidP="00E27CB6">
      <w:pPr>
        <w:pStyle w:val="Listaszerbekezds"/>
        <w:spacing w:line="276" w:lineRule="auto"/>
        <w:ind w:left="1440"/>
        <w:rPr>
          <w:rFonts w:asciiTheme="minorHAnsi" w:eastAsia="Calibri" w:hAnsiTheme="minorHAnsi"/>
          <w:b/>
          <w:sz w:val="24"/>
          <w:szCs w:val="24"/>
        </w:rPr>
      </w:pPr>
      <w:r w:rsidRPr="004364E5">
        <w:rPr>
          <w:rFonts w:asciiTheme="minorHAnsi" w:eastAsia="Calibri" w:hAnsiTheme="minorHAnsi"/>
          <w:b/>
          <w:sz w:val="24"/>
          <w:szCs w:val="24"/>
        </w:rPr>
        <w:t>2000-2002-</w:t>
      </w:r>
      <w:proofErr w:type="gramStart"/>
      <w:r w:rsidRPr="004364E5">
        <w:rPr>
          <w:rFonts w:asciiTheme="minorHAnsi" w:eastAsia="Calibri" w:hAnsiTheme="minorHAnsi"/>
          <w:b/>
          <w:sz w:val="24"/>
          <w:szCs w:val="24"/>
        </w:rPr>
        <w:t xml:space="preserve">között 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egyébként</w:t>
      </w:r>
      <w:proofErr w:type="spellEnd"/>
      <w:proofErr w:type="gram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a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minimálbéres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ágazatok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profitabilitását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olyannyire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nem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törte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meg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az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általunk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javasoltnál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jóval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nagyobb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minimálbér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emelés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,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hogy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az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említett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– a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minimálbéreseket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nagyobb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arányban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foglalkzotató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ágazatokban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- a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bérköl</w:t>
      </w:r>
      <w:r w:rsidR="009E064C" w:rsidRPr="004364E5">
        <w:rPr>
          <w:rFonts w:asciiTheme="minorHAnsi" w:eastAsia="Calibri" w:hAnsiTheme="minorHAnsi"/>
          <w:b/>
          <w:sz w:val="24"/>
          <w:szCs w:val="24"/>
        </w:rPr>
        <w:t>lts</w:t>
      </w:r>
      <w:r w:rsidRPr="004364E5">
        <w:rPr>
          <w:rFonts w:asciiTheme="minorHAnsi" w:eastAsia="Calibri" w:hAnsiTheme="minorHAnsi"/>
          <w:b/>
          <w:sz w:val="24"/>
          <w:szCs w:val="24"/>
        </w:rPr>
        <w:t>ég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növekedés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ellenére</w:t>
      </w:r>
      <w:proofErr w:type="spellEnd"/>
      <w:r w:rsidR="009E064C" w:rsidRPr="004364E5">
        <w:rPr>
          <w:rFonts w:asciiTheme="minorHAnsi" w:eastAsia="Calibri" w:hAnsiTheme="minorHAnsi"/>
          <w:b/>
          <w:sz w:val="24"/>
          <w:szCs w:val="24"/>
        </w:rPr>
        <w:t xml:space="preserve"> -</w:t>
      </w:r>
      <w:r w:rsidRPr="004364E5">
        <w:rPr>
          <w:rFonts w:asciiTheme="minorHAnsi" w:eastAsia="Calibri" w:hAnsiTheme="minorHAnsi"/>
          <w:b/>
          <w:sz w:val="24"/>
          <w:szCs w:val="24"/>
        </w:rPr>
        <w:t xml:space="preserve"> a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nyereségráta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jobban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nőtt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, mint a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versenyszféra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átlagában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. </w:t>
      </w:r>
    </w:p>
    <w:p w:rsidR="003E6997" w:rsidRPr="004364E5" w:rsidRDefault="003E6997" w:rsidP="003E6997">
      <w:pPr>
        <w:pStyle w:val="Listaszerbekezds"/>
        <w:numPr>
          <w:ilvl w:val="1"/>
          <w:numId w:val="13"/>
        </w:numPr>
        <w:spacing w:line="276" w:lineRule="auto"/>
        <w:rPr>
          <w:rFonts w:asciiTheme="minorHAnsi" w:eastAsia="Calibri" w:hAnsiTheme="minorHAnsi"/>
          <w:b/>
          <w:sz w:val="24"/>
          <w:szCs w:val="24"/>
        </w:rPr>
      </w:pPr>
      <w:proofErr w:type="gramStart"/>
      <w:r w:rsidRPr="004364E5">
        <w:rPr>
          <w:rFonts w:asciiTheme="minorHAnsi" w:eastAsia="Calibri" w:hAnsiTheme="minorHAnsi"/>
          <w:b/>
          <w:sz w:val="24"/>
          <w:szCs w:val="24"/>
        </w:rPr>
        <w:t xml:space="preserve">A </w:t>
      </w:r>
      <w:r w:rsidR="008F68B0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C346F7" w:rsidRPr="004364E5">
        <w:rPr>
          <w:rFonts w:asciiTheme="minorHAnsi" w:eastAsia="Calibri" w:hAnsiTheme="minorHAnsi"/>
          <w:b/>
          <w:sz w:val="24"/>
          <w:szCs w:val="24"/>
        </w:rPr>
        <w:t>minimál</w:t>
      </w:r>
      <w:r w:rsidRPr="004364E5">
        <w:rPr>
          <w:rFonts w:asciiTheme="minorHAnsi" w:eastAsia="Calibri" w:hAnsiTheme="minorHAnsi"/>
          <w:b/>
          <w:sz w:val="24"/>
          <w:szCs w:val="24"/>
        </w:rPr>
        <w:t>bér</w:t>
      </w:r>
      <w:proofErr w:type="spellEnd"/>
      <w:proofErr w:type="gramEnd"/>
      <w:r w:rsidR="00C346F7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emelések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speciális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forrását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képezhetné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8F68B0" w:rsidRPr="004364E5">
        <w:rPr>
          <w:rFonts w:asciiTheme="minorHAnsi" w:eastAsia="Calibri" w:hAnsiTheme="minorHAnsi"/>
          <w:b/>
          <w:sz w:val="24"/>
          <w:szCs w:val="24"/>
        </w:rPr>
        <w:t>az</w:t>
      </w:r>
      <w:proofErr w:type="spellEnd"/>
      <w:r w:rsidR="008F68B0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8F68B0" w:rsidRPr="004364E5">
        <w:rPr>
          <w:rFonts w:asciiTheme="minorHAnsi" w:eastAsia="Calibri" w:hAnsiTheme="minorHAnsi"/>
          <w:b/>
          <w:sz w:val="24"/>
          <w:szCs w:val="24"/>
        </w:rPr>
        <w:t>alacsony</w:t>
      </w:r>
      <w:proofErr w:type="spellEnd"/>
      <w:r w:rsidR="008F68B0" w:rsidRPr="004364E5">
        <w:rPr>
          <w:rFonts w:asciiTheme="minorHAnsi" w:eastAsia="Calibri" w:hAnsiTheme="minorHAnsi"/>
          <w:b/>
          <w:sz w:val="24"/>
          <w:szCs w:val="24"/>
        </w:rPr>
        <w:t xml:space="preserve">  </w:t>
      </w:r>
      <w:proofErr w:type="spellStart"/>
      <w:r w:rsidR="008F68B0" w:rsidRPr="004364E5">
        <w:rPr>
          <w:rFonts w:asciiTheme="minorHAnsi" w:eastAsia="Calibri" w:hAnsiTheme="minorHAnsi"/>
          <w:b/>
          <w:sz w:val="24"/>
          <w:szCs w:val="24"/>
        </w:rPr>
        <w:t>munkabéreket</w:t>
      </w:r>
      <w:proofErr w:type="spellEnd"/>
      <w:r w:rsidR="008F68B0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8F68B0" w:rsidRPr="004364E5">
        <w:rPr>
          <w:rFonts w:asciiTheme="minorHAnsi" w:eastAsia="Calibri" w:hAnsiTheme="minorHAnsi"/>
          <w:b/>
          <w:sz w:val="24"/>
          <w:szCs w:val="24"/>
        </w:rPr>
        <w:t>terhelő</w:t>
      </w:r>
      <w:proofErr w:type="spellEnd"/>
      <w:r w:rsidR="008F68B0" w:rsidRPr="004364E5">
        <w:rPr>
          <w:rFonts w:asciiTheme="minorHAnsi" w:eastAsia="Calibri" w:hAnsiTheme="minorHAnsi"/>
          <w:b/>
          <w:sz w:val="24"/>
          <w:szCs w:val="24"/>
        </w:rPr>
        <w:t xml:space="preserve">, </w:t>
      </w:r>
      <w:proofErr w:type="spellStart"/>
      <w:r w:rsidR="008F68B0" w:rsidRPr="004364E5">
        <w:rPr>
          <w:rFonts w:asciiTheme="minorHAnsi" w:eastAsia="Calibri" w:hAnsiTheme="minorHAnsi"/>
          <w:b/>
          <w:sz w:val="24"/>
          <w:szCs w:val="24"/>
        </w:rPr>
        <w:t>nemzetközi</w:t>
      </w:r>
      <w:proofErr w:type="spellEnd"/>
      <w:r w:rsidR="008F68B0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8F68B0" w:rsidRPr="004364E5">
        <w:rPr>
          <w:rFonts w:asciiTheme="minorHAnsi" w:eastAsia="Calibri" w:hAnsiTheme="minorHAnsi"/>
          <w:b/>
          <w:sz w:val="24"/>
          <w:szCs w:val="24"/>
        </w:rPr>
        <w:t>viszonylatban</w:t>
      </w:r>
      <w:proofErr w:type="spellEnd"/>
      <w:r w:rsidR="008F68B0" w:rsidRPr="004364E5">
        <w:rPr>
          <w:rFonts w:asciiTheme="minorHAnsi" w:eastAsia="Calibri" w:hAnsiTheme="minorHAnsi"/>
          <w:b/>
          <w:sz w:val="24"/>
          <w:szCs w:val="24"/>
        </w:rPr>
        <w:t xml:space="preserve">  </w:t>
      </w:r>
      <w:proofErr w:type="spellStart"/>
      <w:r w:rsidR="008F68B0" w:rsidRPr="004364E5">
        <w:rPr>
          <w:rFonts w:asciiTheme="minorHAnsi" w:eastAsia="Calibri" w:hAnsiTheme="minorHAnsi"/>
          <w:b/>
          <w:sz w:val="24"/>
          <w:szCs w:val="24"/>
        </w:rPr>
        <w:t>kimagasló</w:t>
      </w:r>
      <w:proofErr w:type="spellEnd"/>
      <w:r w:rsidR="008F68B0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8F68B0" w:rsidRPr="004364E5">
        <w:rPr>
          <w:rFonts w:asciiTheme="minorHAnsi" w:eastAsia="Calibri" w:hAnsiTheme="minorHAnsi"/>
          <w:b/>
          <w:sz w:val="24"/>
          <w:szCs w:val="24"/>
        </w:rPr>
        <w:t>kormányzati</w:t>
      </w:r>
      <w:proofErr w:type="spellEnd"/>
      <w:r w:rsidR="008F68B0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8F68B0" w:rsidRPr="004364E5">
        <w:rPr>
          <w:rFonts w:asciiTheme="minorHAnsi" w:eastAsia="Calibri" w:hAnsiTheme="minorHAnsi"/>
          <w:b/>
          <w:sz w:val="24"/>
          <w:szCs w:val="24"/>
        </w:rPr>
        <w:t>elvonások</w:t>
      </w:r>
      <w:proofErr w:type="spellEnd"/>
      <w:r w:rsidR="008F68B0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8F68B0" w:rsidRPr="004364E5">
        <w:rPr>
          <w:rFonts w:asciiTheme="minorHAnsi" w:eastAsia="Calibri" w:hAnsiTheme="minorHAnsi"/>
          <w:b/>
          <w:sz w:val="24"/>
          <w:szCs w:val="24"/>
        </w:rPr>
        <w:t>csökkentése</w:t>
      </w:r>
      <w:proofErr w:type="spellEnd"/>
      <w:r w:rsidR="008F68B0" w:rsidRPr="004364E5">
        <w:rPr>
          <w:rFonts w:asciiTheme="minorHAnsi" w:eastAsia="Calibri" w:hAnsiTheme="minorHAnsi"/>
          <w:b/>
          <w:sz w:val="24"/>
          <w:szCs w:val="24"/>
        </w:rPr>
        <w:t xml:space="preserve">. </w:t>
      </w:r>
      <w:proofErr w:type="spellStart"/>
      <w:r w:rsidR="008F68B0" w:rsidRPr="004364E5">
        <w:rPr>
          <w:rFonts w:asciiTheme="minorHAnsi" w:eastAsia="Calibri" w:hAnsiTheme="minorHAnsi"/>
          <w:b/>
          <w:sz w:val="24"/>
          <w:szCs w:val="24"/>
        </w:rPr>
        <w:t>A</w:t>
      </w:r>
      <w:r w:rsidRPr="004364E5">
        <w:rPr>
          <w:rFonts w:asciiTheme="minorHAnsi" w:eastAsia="Calibri" w:hAnsiTheme="minorHAnsi"/>
          <w:b/>
          <w:sz w:val="24"/>
          <w:szCs w:val="24"/>
        </w:rPr>
        <w:t>z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alacsony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bérű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munkavállalókat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terhelő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elvonások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(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SZJA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és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járulékok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) </w:t>
      </w:r>
      <w:proofErr w:type="spellStart"/>
      <w:proofErr w:type="gramStart"/>
      <w:r w:rsidR="008F68B0" w:rsidRPr="004364E5">
        <w:rPr>
          <w:rFonts w:asciiTheme="minorHAnsi" w:eastAsia="Calibri" w:hAnsiTheme="minorHAnsi"/>
          <w:b/>
          <w:sz w:val="24"/>
          <w:szCs w:val="24"/>
        </w:rPr>
        <w:t>mérséklése</w:t>
      </w:r>
      <w:proofErr w:type="spellEnd"/>
      <w:r w:rsidR="008F68B0" w:rsidRPr="004364E5">
        <w:rPr>
          <w:rFonts w:asciiTheme="minorHAnsi" w:eastAsia="Calibri" w:hAnsiTheme="minorHAnsi"/>
          <w:b/>
          <w:sz w:val="24"/>
          <w:szCs w:val="24"/>
        </w:rPr>
        <w:t xml:space="preserve">  </w:t>
      </w:r>
      <w:proofErr w:type="spellStart"/>
      <w:r w:rsidR="00C346F7" w:rsidRPr="004364E5">
        <w:rPr>
          <w:rFonts w:asciiTheme="minorHAnsi" w:eastAsia="Calibri" w:hAnsiTheme="minorHAnsi"/>
          <w:b/>
          <w:sz w:val="24"/>
          <w:szCs w:val="24"/>
        </w:rPr>
        <w:t>alacsonyabb</w:t>
      </w:r>
      <w:proofErr w:type="spellEnd"/>
      <w:proofErr w:type="gramEnd"/>
      <w:r w:rsidR="00C346F7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C346F7" w:rsidRPr="004364E5">
        <w:rPr>
          <w:rFonts w:asciiTheme="minorHAnsi" w:eastAsia="Calibri" w:hAnsiTheme="minorHAnsi"/>
          <w:b/>
          <w:sz w:val="24"/>
          <w:szCs w:val="24"/>
        </w:rPr>
        <w:t>bruttó</w:t>
      </w:r>
      <w:proofErr w:type="spellEnd"/>
      <w:r w:rsidR="00C346F7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C346F7" w:rsidRPr="004364E5">
        <w:rPr>
          <w:rFonts w:asciiTheme="minorHAnsi" w:eastAsia="Calibri" w:hAnsiTheme="minorHAnsi"/>
          <w:b/>
          <w:sz w:val="24"/>
          <w:szCs w:val="24"/>
        </w:rPr>
        <w:t>béremelés</w:t>
      </w:r>
      <w:proofErr w:type="spellEnd"/>
      <w:r w:rsidR="008F68B0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8F68B0" w:rsidRPr="004364E5">
        <w:rPr>
          <w:rFonts w:asciiTheme="minorHAnsi" w:eastAsia="Calibri" w:hAnsiTheme="minorHAnsi"/>
          <w:b/>
          <w:sz w:val="24"/>
          <w:szCs w:val="24"/>
        </w:rPr>
        <w:t>mellett</w:t>
      </w:r>
      <w:proofErr w:type="spellEnd"/>
      <w:r w:rsidR="008F68B0" w:rsidRPr="004364E5">
        <w:rPr>
          <w:rFonts w:asciiTheme="minorHAnsi" w:eastAsia="Calibri" w:hAnsiTheme="minorHAnsi"/>
          <w:b/>
          <w:sz w:val="24"/>
          <w:szCs w:val="24"/>
        </w:rPr>
        <w:t xml:space="preserve">  is  </w:t>
      </w:r>
      <w:proofErr w:type="spellStart"/>
      <w:r w:rsidR="008F68B0" w:rsidRPr="004364E5">
        <w:rPr>
          <w:rFonts w:asciiTheme="minorHAnsi" w:eastAsia="Calibri" w:hAnsiTheme="minorHAnsi"/>
          <w:b/>
          <w:sz w:val="24"/>
          <w:szCs w:val="24"/>
        </w:rPr>
        <w:t>lehetővé</w:t>
      </w:r>
      <w:proofErr w:type="spellEnd"/>
      <w:r w:rsidR="008F68B0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8F68B0" w:rsidRPr="004364E5">
        <w:rPr>
          <w:rFonts w:asciiTheme="minorHAnsi" w:eastAsia="Calibri" w:hAnsiTheme="minorHAnsi"/>
          <w:b/>
          <w:sz w:val="24"/>
          <w:szCs w:val="24"/>
        </w:rPr>
        <w:t>tenné</w:t>
      </w:r>
      <w:proofErr w:type="spellEnd"/>
      <w:r w:rsidR="008F68B0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8F68B0" w:rsidRPr="004364E5">
        <w:rPr>
          <w:rFonts w:asciiTheme="minorHAnsi" w:eastAsia="Calibri" w:hAnsiTheme="minorHAnsi"/>
          <w:b/>
          <w:sz w:val="24"/>
          <w:szCs w:val="24"/>
        </w:rPr>
        <w:t>az</w:t>
      </w:r>
      <w:proofErr w:type="spellEnd"/>
      <w:r w:rsidR="008F68B0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8F68B0" w:rsidRPr="004364E5">
        <w:rPr>
          <w:rFonts w:asciiTheme="minorHAnsi" w:eastAsia="Calibri" w:hAnsiTheme="minorHAnsi"/>
          <w:b/>
          <w:sz w:val="24"/>
          <w:szCs w:val="24"/>
        </w:rPr>
        <w:t>igényelt</w:t>
      </w:r>
      <w:proofErr w:type="spellEnd"/>
      <w:r w:rsidR="008F68B0" w:rsidRPr="004364E5">
        <w:rPr>
          <w:rFonts w:asciiTheme="minorHAnsi" w:eastAsia="Calibri" w:hAnsiTheme="minorHAnsi"/>
          <w:b/>
          <w:sz w:val="24"/>
          <w:szCs w:val="24"/>
        </w:rPr>
        <w:t xml:space="preserve">   </w:t>
      </w:r>
      <w:proofErr w:type="spellStart"/>
      <w:r w:rsidR="008F68B0" w:rsidRPr="004364E5">
        <w:rPr>
          <w:rFonts w:asciiTheme="minorHAnsi" w:eastAsia="Calibri" w:hAnsiTheme="minorHAnsi"/>
          <w:b/>
          <w:sz w:val="24"/>
          <w:szCs w:val="24"/>
          <w:u w:val="single"/>
        </w:rPr>
        <w:t>nettó</w:t>
      </w:r>
      <w:proofErr w:type="spellEnd"/>
      <w:r w:rsidR="008F68B0" w:rsidRPr="004364E5">
        <w:rPr>
          <w:rFonts w:asciiTheme="minorHAnsi" w:eastAsia="Calibri" w:hAnsiTheme="minorHAnsi"/>
          <w:b/>
          <w:sz w:val="24"/>
          <w:szCs w:val="24"/>
          <w:u w:val="single"/>
        </w:rPr>
        <w:t xml:space="preserve"> </w:t>
      </w:r>
      <w:proofErr w:type="spellStart"/>
      <w:r w:rsidR="008F68B0" w:rsidRPr="004364E5">
        <w:rPr>
          <w:rFonts w:asciiTheme="minorHAnsi" w:eastAsia="Calibri" w:hAnsiTheme="minorHAnsi"/>
          <w:b/>
          <w:sz w:val="24"/>
          <w:szCs w:val="24"/>
          <w:u w:val="single"/>
        </w:rPr>
        <w:t>béremelés</w:t>
      </w:r>
      <w:proofErr w:type="spellEnd"/>
      <w:r w:rsidR="008F68B0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8F68B0" w:rsidRPr="004364E5">
        <w:rPr>
          <w:rFonts w:asciiTheme="minorHAnsi" w:eastAsia="Calibri" w:hAnsiTheme="minorHAnsi"/>
          <w:b/>
          <w:sz w:val="24"/>
          <w:szCs w:val="24"/>
        </w:rPr>
        <w:t>megvalósítását</w:t>
      </w:r>
      <w:proofErr w:type="spellEnd"/>
      <w:r w:rsidR="008F68B0" w:rsidRPr="004364E5">
        <w:rPr>
          <w:rFonts w:asciiTheme="minorHAnsi" w:eastAsia="Calibri" w:hAnsiTheme="minorHAnsi"/>
          <w:b/>
          <w:sz w:val="24"/>
          <w:szCs w:val="24"/>
        </w:rPr>
        <w:t>.</w:t>
      </w:r>
    </w:p>
    <w:p w:rsidR="008803E1" w:rsidRPr="004364E5" w:rsidRDefault="00C346F7" w:rsidP="00C346F7">
      <w:pPr>
        <w:pStyle w:val="Listaszerbekezds"/>
        <w:spacing w:line="276" w:lineRule="auto"/>
        <w:ind w:left="1440"/>
        <w:rPr>
          <w:rFonts w:asciiTheme="minorHAnsi" w:eastAsia="Calibri" w:hAnsiTheme="minorHAnsi"/>
          <w:b/>
          <w:sz w:val="24"/>
          <w:szCs w:val="24"/>
        </w:rPr>
      </w:pPr>
      <w:r w:rsidRPr="004364E5">
        <w:rPr>
          <w:rFonts w:asciiTheme="minorHAnsi" w:eastAsia="Calibri" w:hAnsiTheme="minorHAnsi"/>
          <w:b/>
          <w:sz w:val="24"/>
          <w:szCs w:val="24"/>
        </w:rPr>
        <w:t xml:space="preserve">A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bruttó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minimálbér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emelések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8F68B0" w:rsidRPr="004364E5">
        <w:rPr>
          <w:rFonts w:asciiTheme="minorHAnsi" w:eastAsia="Calibri" w:hAnsiTheme="minorHAnsi"/>
          <w:b/>
          <w:sz w:val="24"/>
          <w:szCs w:val="24"/>
        </w:rPr>
        <w:t>forrását</w:t>
      </w:r>
      <w:proofErr w:type="spellEnd"/>
      <w:r w:rsidR="008F68B0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8F68B0" w:rsidRPr="004364E5">
        <w:rPr>
          <w:rFonts w:asciiTheme="minorHAnsi" w:eastAsia="Calibri" w:hAnsiTheme="minorHAnsi"/>
          <w:b/>
          <w:sz w:val="24"/>
          <w:szCs w:val="24"/>
        </w:rPr>
        <w:t>képezhetné</w:t>
      </w:r>
      <w:proofErr w:type="spellEnd"/>
      <w:r w:rsidR="008F68B0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8F68B0" w:rsidRPr="004364E5">
        <w:rPr>
          <w:rFonts w:asciiTheme="minorHAnsi" w:eastAsia="Calibri" w:hAnsiTheme="minorHAnsi"/>
          <w:b/>
          <w:sz w:val="24"/>
          <w:szCs w:val="24"/>
          <w:u w:val="single"/>
        </w:rPr>
        <w:t>az</w:t>
      </w:r>
      <w:proofErr w:type="spellEnd"/>
      <w:r w:rsidR="008F68B0" w:rsidRPr="004364E5">
        <w:rPr>
          <w:rFonts w:asciiTheme="minorHAnsi" w:eastAsia="Calibri" w:hAnsiTheme="minorHAnsi"/>
          <w:b/>
          <w:sz w:val="24"/>
          <w:szCs w:val="24"/>
          <w:u w:val="single"/>
        </w:rPr>
        <w:t xml:space="preserve"> </w:t>
      </w:r>
      <w:proofErr w:type="spellStart"/>
      <w:r w:rsidR="008F68B0" w:rsidRPr="004364E5">
        <w:rPr>
          <w:rFonts w:asciiTheme="minorHAnsi" w:eastAsia="Calibri" w:hAnsiTheme="minorHAnsi"/>
          <w:b/>
          <w:sz w:val="24"/>
          <w:szCs w:val="24"/>
          <w:u w:val="single"/>
        </w:rPr>
        <w:t>elvárt</w:t>
      </w:r>
      <w:proofErr w:type="spellEnd"/>
      <w:r w:rsidR="008803E1" w:rsidRPr="004364E5">
        <w:rPr>
          <w:rFonts w:asciiTheme="minorHAnsi" w:eastAsia="Calibri" w:hAnsiTheme="minorHAnsi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8803E1" w:rsidRPr="004364E5">
        <w:rPr>
          <w:rFonts w:asciiTheme="minorHAnsi" w:eastAsia="Calibri" w:hAnsiTheme="minorHAnsi"/>
          <w:b/>
          <w:sz w:val="24"/>
          <w:szCs w:val="24"/>
          <w:u w:val="single"/>
        </w:rPr>
        <w:t>minimális</w:t>
      </w:r>
      <w:proofErr w:type="spellEnd"/>
      <w:r w:rsidR="008803E1" w:rsidRPr="004364E5">
        <w:rPr>
          <w:rFonts w:asciiTheme="minorHAnsi" w:eastAsia="Calibri" w:hAnsiTheme="minorHAnsi"/>
          <w:b/>
          <w:sz w:val="24"/>
          <w:szCs w:val="24"/>
          <w:u w:val="single"/>
        </w:rPr>
        <w:t xml:space="preserve"> </w:t>
      </w:r>
      <w:r w:rsidR="008F68B0" w:rsidRPr="004364E5">
        <w:rPr>
          <w:rFonts w:asciiTheme="minorHAnsi" w:eastAsia="Calibri" w:hAnsiTheme="minorHAnsi"/>
          <w:b/>
          <w:sz w:val="24"/>
          <w:szCs w:val="24"/>
          <w:u w:val="single"/>
        </w:rPr>
        <w:t xml:space="preserve"> </w:t>
      </w:r>
      <w:proofErr w:type="spellStart"/>
      <w:r w:rsidR="008F68B0" w:rsidRPr="004364E5">
        <w:rPr>
          <w:rFonts w:asciiTheme="minorHAnsi" w:eastAsia="Calibri" w:hAnsiTheme="minorHAnsi"/>
          <w:b/>
          <w:sz w:val="24"/>
          <w:szCs w:val="24"/>
          <w:u w:val="single"/>
        </w:rPr>
        <w:t>béremelésre</w:t>
      </w:r>
      <w:proofErr w:type="spellEnd"/>
      <w:proofErr w:type="gramEnd"/>
      <w:r w:rsidR="008F68B0" w:rsidRPr="004364E5">
        <w:rPr>
          <w:rFonts w:asciiTheme="minorHAnsi" w:eastAsia="Calibri" w:hAnsiTheme="minorHAnsi"/>
          <w:b/>
          <w:sz w:val="24"/>
          <w:szCs w:val="24"/>
          <w:u w:val="single"/>
        </w:rPr>
        <w:t xml:space="preserve"> </w:t>
      </w:r>
      <w:proofErr w:type="spellStart"/>
      <w:r w:rsidR="008F68B0" w:rsidRPr="004364E5">
        <w:rPr>
          <w:rFonts w:asciiTheme="minorHAnsi" w:eastAsia="Calibri" w:hAnsiTheme="minorHAnsi"/>
          <w:b/>
          <w:sz w:val="24"/>
          <w:szCs w:val="24"/>
          <w:u w:val="single"/>
        </w:rPr>
        <w:t>jutó</w:t>
      </w:r>
      <w:proofErr w:type="spellEnd"/>
      <w:r w:rsidR="008F68B0" w:rsidRPr="004364E5">
        <w:rPr>
          <w:rFonts w:asciiTheme="minorHAnsi" w:eastAsia="Calibri" w:hAnsiTheme="minorHAnsi"/>
          <w:b/>
          <w:sz w:val="24"/>
          <w:szCs w:val="24"/>
          <w:u w:val="single"/>
        </w:rPr>
        <w:t xml:space="preserve"> </w:t>
      </w:r>
      <w:proofErr w:type="spellStart"/>
      <w:r w:rsidR="008F68B0" w:rsidRPr="004364E5">
        <w:rPr>
          <w:rFonts w:asciiTheme="minorHAnsi" w:eastAsia="Calibri" w:hAnsiTheme="minorHAnsi"/>
          <w:b/>
          <w:sz w:val="24"/>
          <w:szCs w:val="24"/>
        </w:rPr>
        <w:t>munkaadói</w:t>
      </w:r>
      <w:proofErr w:type="spellEnd"/>
      <w:r w:rsidR="008F68B0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8F68B0" w:rsidRPr="004364E5">
        <w:rPr>
          <w:rFonts w:asciiTheme="minorHAnsi" w:eastAsia="Calibri" w:hAnsiTheme="minorHAnsi"/>
          <w:b/>
          <w:sz w:val="24"/>
          <w:szCs w:val="24"/>
        </w:rPr>
        <w:t>szociális</w:t>
      </w:r>
      <w:proofErr w:type="spellEnd"/>
      <w:r w:rsidR="008F68B0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8F68B0" w:rsidRPr="004364E5">
        <w:rPr>
          <w:rFonts w:asciiTheme="minorHAnsi" w:eastAsia="Calibri" w:hAnsiTheme="minorHAnsi"/>
          <w:b/>
          <w:sz w:val="24"/>
          <w:szCs w:val="24"/>
        </w:rPr>
        <w:t>hozzájárulási</w:t>
      </w:r>
      <w:proofErr w:type="spellEnd"/>
      <w:r w:rsidR="008F68B0" w:rsidRPr="004364E5">
        <w:rPr>
          <w:rFonts w:asciiTheme="minorHAnsi" w:eastAsia="Calibri" w:hAnsiTheme="minorHAnsi"/>
          <w:b/>
          <w:sz w:val="24"/>
          <w:szCs w:val="24"/>
        </w:rPr>
        <w:t xml:space="preserve">  </w:t>
      </w:r>
      <w:proofErr w:type="spellStart"/>
      <w:r w:rsidR="008F68B0" w:rsidRPr="004364E5">
        <w:rPr>
          <w:rFonts w:asciiTheme="minorHAnsi" w:eastAsia="Calibri" w:hAnsiTheme="minorHAnsi"/>
          <w:b/>
          <w:sz w:val="24"/>
          <w:szCs w:val="24"/>
        </w:rPr>
        <w:t>adó</w:t>
      </w:r>
      <w:proofErr w:type="spellEnd"/>
      <w:r w:rsidR="008F68B0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8F68B0" w:rsidRPr="004364E5">
        <w:rPr>
          <w:rFonts w:asciiTheme="minorHAnsi" w:eastAsia="Calibri" w:hAnsiTheme="minorHAnsi"/>
          <w:b/>
          <w:sz w:val="24"/>
          <w:szCs w:val="24"/>
        </w:rPr>
        <w:t>átmeneti</w:t>
      </w:r>
      <w:proofErr w:type="spellEnd"/>
      <w:r w:rsidR="008F68B0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8F68B0" w:rsidRPr="004364E5">
        <w:rPr>
          <w:rFonts w:asciiTheme="minorHAnsi" w:eastAsia="Calibri" w:hAnsiTheme="minorHAnsi"/>
          <w:b/>
          <w:sz w:val="24"/>
          <w:szCs w:val="24"/>
        </w:rPr>
        <w:t>időszakra</w:t>
      </w:r>
      <w:proofErr w:type="spellEnd"/>
      <w:r w:rsidR="008F68B0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8F68B0" w:rsidRPr="004364E5">
        <w:rPr>
          <w:rFonts w:asciiTheme="minorHAnsi" w:eastAsia="Calibri" w:hAnsiTheme="minorHAnsi"/>
          <w:b/>
          <w:sz w:val="24"/>
          <w:szCs w:val="24"/>
        </w:rPr>
        <w:t>szóló</w:t>
      </w:r>
      <w:proofErr w:type="spellEnd"/>
      <w:r w:rsidR="008F68B0" w:rsidRPr="004364E5">
        <w:rPr>
          <w:rFonts w:asciiTheme="minorHAnsi" w:eastAsia="Calibri" w:hAnsiTheme="minorHAnsi"/>
          <w:b/>
          <w:sz w:val="24"/>
          <w:szCs w:val="24"/>
        </w:rPr>
        <w:t xml:space="preserve">  </w:t>
      </w:r>
      <w:proofErr w:type="spellStart"/>
      <w:r w:rsidR="008F68B0" w:rsidRPr="004364E5">
        <w:rPr>
          <w:rFonts w:asciiTheme="minorHAnsi" w:eastAsia="Calibri" w:hAnsiTheme="minorHAnsi"/>
          <w:b/>
          <w:sz w:val="24"/>
          <w:szCs w:val="24"/>
        </w:rPr>
        <w:t>csökkentése</w:t>
      </w:r>
      <w:proofErr w:type="spellEnd"/>
      <w:r w:rsidR="008F68B0" w:rsidRPr="004364E5">
        <w:rPr>
          <w:rFonts w:asciiTheme="minorHAnsi" w:eastAsia="Calibri" w:hAnsiTheme="minorHAnsi"/>
          <w:b/>
          <w:sz w:val="24"/>
          <w:szCs w:val="24"/>
        </w:rPr>
        <w:t xml:space="preserve">. </w:t>
      </w:r>
    </w:p>
    <w:p w:rsidR="00C346F7" w:rsidRPr="004364E5" w:rsidRDefault="008F68B0" w:rsidP="00C346F7">
      <w:pPr>
        <w:pStyle w:val="Listaszerbekezds"/>
        <w:spacing w:line="276" w:lineRule="auto"/>
        <w:ind w:left="1440"/>
        <w:rPr>
          <w:rFonts w:asciiTheme="minorHAnsi" w:eastAsia="Calibri" w:hAnsiTheme="minorHAnsi"/>
          <w:b/>
          <w:sz w:val="24"/>
          <w:szCs w:val="24"/>
        </w:rPr>
      </w:pPr>
      <w:r w:rsidRPr="004364E5">
        <w:rPr>
          <w:rFonts w:asciiTheme="minorHAnsi" w:eastAsia="Calibri" w:hAnsiTheme="minorHAnsi"/>
          <w:b/>
          <w:sz w:val="24"/>
          <w:szCs w:val="24"/>
        </w:rPr>
        <w:t xml:space="preserve">A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költségvetést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kevésbé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terhelő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megoldásként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az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is </w:t>
      </w:r>
      <w:proofErr w:type="spellStart"/>
      <w:r w:rsidR="008803E1" w:rsidRPr="004364E5">
        <w:rPr>
          <w:rFonts w:asciiTheme="minorHAnsi" w:eastAsia="Calibri" w:hAnsiTheme="minorHAnsi"/>
          <w:b/>
          <w:sz w:val="24"/>
          <w:szCs w:val="24"/>
        </w:rPr>
        <w:t>megfontolandó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,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hogy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a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szakképzetlen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dolgozók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és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a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fiatal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munkavállalók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foglalkoztatása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után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járó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proofErr w:type="gramStart"/>
      <w:r w:rsidR="008803E1" w:rsidRPr="004364E5">
        <w:rPr>
          <w:rFonts w:asciiTheme="minorHAnsi" w:eastAsia="Calibri" w:hAnsiTheme="minorHAnsi"/>
          <w:b/>
          <w:sz w:val="24"/>
          <w:szCs w:val="24"/>
        </w:rPr>
        <w:t>munkáltatói</w:t>
      </w:r>
      <w:proofErr w:type="spellEnd"/>
      <w:r w:rsidR="008803E1" w:rsidRPr="004364E5">
        <w:rPr>
          <w:rFonts w:asciiTheme="minorHAnsi" w:eastAsia="Calibri" w:hAnsiTheme="minorHAnsi"/>
          <w:b/>
          <w:sz w:val="24"/>
          <w:szCs w:val="24"/>
        </w:rPr>
        <w:t xml:space="preserve"> 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adókedvezmény</w:t>
      </w:r>
      <w:r w:rsidR="008803E1" w:rsidRPr="004364E5">
        <w:rPr>
          <w:rFonts w:asciiTheme="minorHAnsi" w:eastAsia="Calibri" w:hAnsiTheme="minorHAnsi"/>
          <w:b/>
          <w:sz w:val="24"/>
          <w:szCs w:val="24"/>
        </w:rPr>
        <w:t>eket</w:t>
      </w:r>
      <w:proofErr w:type="spellEnd"/>
      <w:proofErr w:type="gramEnd"/>
      <w:r w:rsidR="008803E1" w:rsidRPr="004364E5">
        <w:rPr>
          <w:rFonts w:asciiTheme="minorHAnsi" w:eastAsia="Calibri" w:hAnsiTheme="minorHAnsi"/>
          <w:b/>
          <w:sz w:val="24"/>
          <w:szCs w:val="24"/>
        </w:rPr>
        <w:t xml:space="preserve"> 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az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8803E1" w:rsidRPr="004364E5">
        <w:rPr>
          <w:rFonts w:asciiTheme="minorHAnsi" w:eastAsia="Calibri" w:hAnsiTheme="minorHAnsi"/>
          <w:b/>
          <w:sz w:val="24"/>
          <w:szCs w:val="24"/>
        </w:rPr>
        <w:t>alacsony</w:t>
      </w:r>
      <w:proofErr w:type="spellEnd"/>
      <w:r w:rsidR="008803E1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8803E1" w:rsidRPr="004364E5">
        <w:rPr>
          <w:rFonts w:asciiTheme="minorHAnsi" w:eastAsia="Calibri" w:hAnsiTheme="minorHAnsi"/>
          <w:b/>
          <w:sz w:val="24"/>
          <w:szCs w:val="24"/>
        </w:rPr>
        <w:t>bérű</w:t>
      </w:r>
      <w:proofErr w:type="spellEnd"/>
      <w:r w:rsidR="008803E1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8803E1" w:rsidRPr="004364E5">
        <w:rPr>
          <w:rFonts w:asciiTheme="minorHAnsi" w:eastAsia="Calibri" w:hAnsiTheme="minorHAnsi"/>
          <w:b/>
          <w:sz w:val="24"/>
          <w:szCs w:val="24"/>
        </w:rPr>
        <w:t>dolgozók</w:t>
      </w:r>
      <w:proofErr w:type="spellEnd"/>
      <w:r w:rsidR="008803E1" w:rsidRPr="004364E5">
        <w:rPr>
          <w:rFonts w:asciiTheme="minorHAnsi" w:eastAsia="Calibri" w:hAnsiTheme="minorHAnsi"/>
          <w:b/>
          <w:sz w:val="24"/>
          <w:szCs w:val="24"/>
        </w:rPr>
        <w:t xml:space="preserve">  </w:t>
      </w:r>
      <w:proofErr w:type="spellStart"/>
      <w:r w:rsidR="008803E1" w:rsidRPr="004364E5">
        <w:rPr>
          <w:rFonts w:asciiTheme="minorHAnsi" w:eastAsia="Calibri" w:hAnsiTheme="minorHAnsi"/>
          <w:b/>
          <w:sz w:val="24"/>
          <w:szCs w:val="24"/>
        </w:rPr>
        <w:t>körében</w:t>
      </w:r>
      <w:proofErr w:type="spellEnd"/>
      <w:r w:rsidR="008803E1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8803E1" w:rsidRPr="004364E5">
        <w:rPr>
          <w:rFonts w:asciiTheme="minorHAnsi" w:eastAsia="Calibri" w:hAnsiTheme="minorHAnsi"/>
          <w:b/>
          <w:sz w:val="24"/>
          <w:szCs w:val="24"/>
        </w:rPr>
        <w:t>végrehajtott</w:t>
      </w:r>
      <w:proofErr w:type="spellEnd"/>
      <w:r w:rsidR="008803E1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8803E1" w:rsidRPr="004364E5">
        <w:rPr>
          <w:rFonts w:asciiTheme="minorHAnsi" w:eastAsia="Calibri" w:hAnsiTheme="minorHAnsi"/>
          <w:b/>
          <w:sz w:val="24"/>
          <w:szCs w:val="24"/>
        </w:rPr>
        <w:t>minimális</w:t>
      </w:r>
      <w:proofErr w:type="spellEnd"/>
      <w:r w:rsidR="008803E1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béremelése</w:t>
      </w:r>
      <w:r w:rsidR="008803E1" w:rsidRPr="004364E5">
        <w:rPr>
          <w:rFonts w:asciiTheme="minorHAnsi" w:eastAsia="Calibri" w:hAnsiTheme="minorHAnsi"/>
          <w:b/>
          <w:sz w:val="24"/>
          <w:szCs w:val="24"/>
        </w:rPr>
        <w:t>k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után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járó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adókedvezmény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vált</w:t>
      </w:r>
      <w:r w:rsidR="008803E1" w:rsidRPr="004364E5">
        <w:rPr>
          <w:rFonts w:asciiTheme="minorHAnsi" w:eastAsia="Calibri" w:hAnsiTheme="minorHAnsi"/>
          <w:b/>
          <w:sz w:val="24"/>
          <w:szCs w:val="24"/>
        </w:rPr>
        <w:t>sa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fel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. </w:t>
      </w:r>
    </w:p>
    <w:p w:rsidR="005C2EB7" w:rsidRPr="004364E5" w:rsidRDefault="005C2EB7" w:rsidP="00C346F7">
      <w:pPr>
        <w:pStyle w:val="Listaszerbekezds"/>
        <w:spacing w:line="276" w:lineRule="auto"/>
        <w:ind w:left="1440"/>
        <w:rPr>
          <w:rFonts w:asciiTheme="minorHAnsi" w:eastAsia="Calibri" w:hAnsiTheme="minorHAnsi"/>
          <w:b/>
          <w:sz w:val="24"/>
          <w:szCs w:val="24"/>
        </w:rPr>
      </w:pPr>
    </w:p>
    <w:p w:rsidR="005C2EB7" w:rsidRPr="004364E5" w:rsidRDefault="005C2EB7" w:rsidP="00C346F7">
      <w:pPr>
        <w:pStyle w:val="Listaszerbekezds"/>
        <w:spacing w:line="276" w:lineRule="auto"/>
        <w:ind w:left="1440"/>
        <w:rPr>
          <w:rFonts w:asciiTheme="minorHAnsi" w:eastAsia="Calibri" w:hAnsiTheme="minorHAnsi"/>
          <w:b/>
          <w:sz w:val="24"/>
          <w:szCs w:val="24"/>
        </w:rPr>
      </w:pPr>
      <w:r w:rsidRPr="004364E5">
        <w:rPr>
          <w:rFonts w:asciiTheme="minorHAnsi" w:eastAsia="Calibri" w:hAnsiTheme="minorHAnsi"/>
          <w:b/>
          <w:sz w:val="24"/>
          <w:szCs w:val="24"/>
        </w:rPr>
        <w:t xml:space="preserve">III. A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minimálbéremelés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proofErr w:type="gramStart"/>
      <w:r w:rsidRPr="004364E5">
        <w:rPr>
          <w:rFonts w:asciiTheme="minorHAnsi" w:eastAsia="Calibri" w:hAnsiTheme="minorHAnsi"/>
          <w:b/>
          <w:sz w:val="24"/>
          <w:szCs w:val="24"/>
        </w:rPr>
        <w:t>fenntarthatósága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 a</w:t>
      </w:r>
      <w:proofErr w:type="gram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belőskereslet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ösztönzése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révén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. </w:t>
      </w:r>
    </w:p>
    <w:p w:rsidR="005C2EB7" w:rsidRPr="004364E5" w:rsidRDefault="005C2EB7" w:rsidP="00C346F7">
      <w:pPr>
        <w:pStyle w:val="Listaszerbekezds"/>
        <w:spacing w:line="276" w:lineRule="auto"/>
        <w:ind w:left="1440"/>
        <w:rPr>
          <w:rFonts w:asciiTheme="minorHAnsi" w:eastAsia="Calibri" w:hAnsiTheme="minorHAnsi"/>
          <w:b/>
          <w:sz w:val="24"/>
          <w:szCs w:val="24"/>
        </w:rPr>
      </w:pPr>
    </w:p>
    <w:p w:rsidR="005C2EB7" w:rsidRPr="004364E5" w:rsidRDefault="005C2EB7" w:rsidP="00C346F7">
      <w:pPr>
        <w:pStyle w:val="Listaszerbekezds"/>
        <w:spacing w:line="276" w:lineRule="auto"/>
        <w:ind w:left="1440"/>
        <w:rPr>
          <w:rFonts w:asciiTheme="minorHAnsi" w:eastAsia="Calibri" w:hAnsiTheme="minorHAnsi"/>
          <w:b/>
          <w:sz w:val="24"/>
          <w:szCs w:val="24"/>
        </w:rPr>
      </w:pPr>
      <w:r w:rsidRPr="004364E5">
        <w:rPr>
          <w:rFonts w:asciiTheme="minorHAnsi" w:eastAsia="Calibri" w:hAnsiTheme="minorHAnsi"/>
          <w:b/>
          <w:sz w:val="24"/>
          <w:szCs w:val="24"/>
        </w:rPr>
        <w:t xml:space="preserve">A 2016. </w:t>
      </w:r>
      <w:proofErr w:type="spellStart"/>
      <w:proofErr w:type="gramStart"/>
      <w:r w:rsidRPr="004364E5">
        <w:rPr>
          <w:rFonts w:asciiTheme="minorHAnsi" w:eastAsia="Calibri" w:hAnsiTheme="minorHAnsi"/>
          <w:b/>
          <w:sz w:val="24"/>
          <w:szCs w:val="24"/>
        </w:rPr>
        <w:t>évtől</w:t>
      </w:r>
      <w:proofErr w:type="spellEnd"/>
      <w:proofErr w:type="gram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a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csökkenő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uniós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források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a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növekedési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ütem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csökkenését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vetítik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elre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.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Ezt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elensúlyozhatné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a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belső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kereslet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növelése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a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béremelések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révén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,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amelyek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a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kereslet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növelés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proofErr w:type="gramStart"/>
      <w:r w:rsidRPr="004364E5">
        <w:rPr>
          <w:rFonts w:asciiTheme="minorHAnsi" w:eastAsia="Calibri" w:hAnsiTheme="minorHAnsi"/>
          <w:b/>
          <w:sz w:val="24"/>
          <w:szCs w:val="24"/>
        </w:rPr>
        <w:t>fő</w:t>
      </w:r>
      <w:proofErr w:type="spellEnd"/>
      <w:proofErr w:type="gram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hajtóerejét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képezik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. </w:t>
      </w:r>
    </w:p>
    <w:p w:rsidR="00C346F7" w:rsidRPr="004364E5" w:rsidRDefault="00C346F7" w:rsidP="00C346F7">
      <w:pPr>
        <w:pStyle w:val="Listaszerbekezds"/>
        <w:spacing w:line="276" w:lineRule="auto"/>
        <w:ind w:left="1440"/>
        <w:rPr>
          <w:rFonts w:asciiTheme="minorHAnsi" w:eastAsia="Calibri" w:hAnsiTheme="minorHAnsi"/>
          <w:b/>
          <w:sz w:val="24"/>
          <w:szCs w:val="24"/>
        </w:rPr>
      </w:pPr>
    </w:p>
    <w:p w:rsidR="006366BB" w:rsidRPr="004364E5" w:rsidRDefault="006366BB" w:rsidP="006366BB">
      <w:pPr>
        <w:pStyle w:val="Listaszerbekezds"/>
        <w:spacing w:line="276" w:lineRule="auto"/>
        <w:rPr>
          <w:rFonts w:asciiTheme="minorHAnsi" w:eastAsia="Calibri" w:hAnsiTheme="minorHAnsi"/>
          <w:b/>
          <w:sz w:val="24"/>
          <w:szCs w:val="24"/>
        </w:rPr>
      </w:pPr>
    </w:p>
    <w:p w:rsidR="006366BB" w:rsidRPr="004364E5" w:rsidRDefault="003E6997" w:rsidP="006366BB">
      <w:pPr>
        <w:pStyle w:val="Listaszerbekezds"/>
        <w:spacing w:line="276" w:lineRule="auto"/>
        <w:rPr>
          <w:rFonts w:asciiTheme="minorHAnsi" w:eastAsia="Calibri" w:hAnsiTheme="minorHAnsi"/>
          <w:b/>
          <w:sz w:val="24"/>
          <w:szCs w:val="24"/>
        </w:rPr>
      </w:pP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Összefoglalás</w:t>
      </w:r>
      <w:proofErr w:type="spellEnd"/>
    </w:p>
    <w:p w:rsidR="006366BB" w:rsidRPr="004364E5" w:rsidRDefault="002E65CE" w:rsidP="00D07AD9">
      <w:pPr>
        <w:pStyle w:val="Listaszerbekezds"/>
        <w:spacing w:line="276" w:lineRule="auto"/>
        <w:rPr>
          <w:rFonts w:asciiTheme="minorHAnsi" w:eastAsia="Calibri" w:hAnsiTheme="minorHAnsi"/>
          <w:b/>
          <w:sz w:val="24"/>
          <w:szCs w:val="24"/>
        </w:rPr>
      </w:pP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Saj</w:t>
      </w:r>
      <w:r w:rsidR="0056644B" w:rsidRPr="004364E5">
        <w:rPr>
          <w:rFonts w:asciiTheme="minorHAnsi" w:eastAsia="Calibri" w:hAnsiTheme="minorHAnsi"/>
          <w:b/>
          <w:sz w:val="24"/>
          <w:szCs w:val="24"/>
        </w:rPr>
        <w:t>n</w:t>
      </w:r>
      <w:r w:rsidRPr="004364E5">
        <w:rPr>
          <w:rFonts w:asciiTheme="minorHAnsi" w:eastAsia="Calibri" w:hAnsiTheme="minorHAnsi"/>
          <w:b/>
          <w:sz w:val="24"/>
          <w:szCs w:val="24"/>
        </w:rPr>
        <w:t>áljuk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,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hogy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a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munkaadói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oldal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a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javasolt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szakmai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konzultáció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elvetésével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proofErr w:type="gramStart"/>
      <w:r w:rsidR="0056644B" w:rsidRPr="004364E5">
        <w:rPr>
          <w:rFonts w:asciiTheme="minorHAnsi" w:eastAsia="Calibri" w:hAnsiTheme="minorHAnsi"/>
          <w:b/>
          <w:sz w:val="24"/>
          <w:szCs w:val="24"/>
        </w:rPr>
        <w:t>nem</w:t>
      </w:r>
      <w:proofErr w:type="spellEnd"/>
      <w:r w:rsidR="0056644B" w:rsidRPr="004364E5">
        <w:rPr>
          <w:rFonts w:asciiTheme="minorHAnsi" w:eastAsia="Calibri" w:hAnsiTheme="minorHAnsi"/>
          <w:b/>
          <w:sz w:val="24"/>
          <w:szCs w:val="24"/>
        </w:rPr>
        <w:t xml:space="preserve">  </w:t>
      </w:r>
      <w:proofErr w:type="spellStart"/>
      <w:r w:rsidR="0056644B" w:rsidRPr="004364E5">
        <w:rPr>
          <w:rFonts w:asciiTheme="minorHAnsi" w:eastAsia="Calibri" w:hAnsiTheme="minorHAnsi"/>
          <w:b/>
          <w:sz w:val="24"/>
          <w:szCs w:val="24"/>
        </w:rPr>
        <w:t>méltatta</w:t>
      </w:r>
      <w:proofErr w:type="spellEnd"/>
      <w:proofErr w:type="gramEnd"/>
      <w:r w:rsidR="0056644B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56644B" w:rsidRPr="004364E5">
        <w:rPr>
          <w:rFonts w:asciiTheme="minorHAnsi" w:eastAsia="Calibri" w:hAnsiTheme="minorHAnsi"/>
          <w:b/>
          <w:sz w:val="24"/>
          <w:szCs w:val="24"/>
        </w:rPr>
        <w:t>arra</w:t>
      </w:r>
      <w:proofErr w:type="spellEnd"/>
      <w:r w:rsidR="0056644B" w:rsidRPr="004364E5">
        <w:rPr>
          <w:rFonts w:asciiTheme="minorHAnsi" w:eastAsia="Calibri" w:hAnsiTheme="minorHAnsi"/>
          <w:b/>
          <w:sz w:val="24"/>
          <w:szCs w:val="24"/>
        </w:rPr>
        <w:t xml:space="preserve"> a </w:t>
      </w:r>
      <w:proofErr w:type="spellStart"/>
      <w:r w:rsidR="0056644B" w:rsidRPr="004364E5">
        <w:rPr>
          <w:rFonts w:asciiTheme="minorHAnsi" w:eastAsia="Calibri" w:hAnsiTheme="minorHAnsi"/>
          <w:b/>
          <w:sz w:val="24"/>
          <w:szCs w:val="24"/>
        </w:rPr>
        <w:t>munkavállalói</w:t>
      </w:r>
      <w:proofErr w:type="spellEnd"/>
      <w:r w:rsidR="0056644B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56644B" w:rsidRPr="004364E5">
        <w:rPr>
          <w:rFonts w:asciiTheme="minorHAnsi" w:eastAsia="Calibri" w:hAnsiTheme="minorHAnsi"/>
          <w:b/>
          <w:sz w:val="24"/>
          <w:szCs w:val="24"/>
        </w:rPr>
        <w:t>oldalt</w:t>
      </w:r>
      <w:proofErr w:type="spellEnd"/>
      <w:r w:rsidR="0056644B" w:rsidRPr="004364E5">
        <w:rPr>
          <w:rFonts w:asciiTheme="minorHAnsi" w:eastAsia="Calibri" w:hAnsiTheme="minorHAnsi"/>
          <w:b/>
          <w:sz w:val="24"/>
          <w:szCs w:val="24"/>
        </w:rPr>
        <w:t xml:space="preserve">, </w:t>
      </w:r>
      <w:proofErr w:type="spellStart"/>
      <w:r w:rsidR="0056644B" w:rsidRPr="004364E5">
        <w:rPr>
          <w:rFonts w:asciiTheme="minorHAnsi" w:eastAsia="Calibri" w:hAnsiTheme="minorHAnsi"/>
          <w:b/>
          <w:sz w:val="24"/>
          <w:szCs w:val="24"/>
        </w:rPr>
        <w:t>hogy</w:t>
      </w:r>
      <w:proofErr w:type="spellEnd"/>
      <w:r w:rsidR="0056644B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56644B" w:rsidRPr="004364E5">
        <w:rPr>
          <w:rFonts w:asciiTheme="minorHAnsi" w:eastAsia="Calibri" w:hAnsiTheme="minorHAnsi"/>
          <w:b/>
          <w:sz w:val="24"/>
          <w:szCs w:val="24"/>
        </w:rPr>
        <w:t>tényekkel</w:t>
      </w:r>
      <w:proofErr w:type="spellEnd"/>
      <w:r w:rsidR="0056644B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56644B" w:rsidRPr="004364E5">
        <w:rPr>
          <w:rFonts w:asciiTheme="minorHAnsi" w:eastAsia="Calibri" w:hAnsiTheme="minorHAnsi"/>
          <w:b/>
          <w:sz w:val="24"/>
          <w:szCs w:val="24"/>
        </w:rPr>
        <w:t>érveljen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,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miért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nem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látja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kivitelezhetőnek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a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szakszervezeti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javaslatokat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>.</w:t>
      </w:r>
      <w:r w:rsidR="00D07AD9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56644B" w:rsidRPr="004364E5">
        <w:rPr>
          <w:rFonts w:asciiTheme="minorHAnsi" w:eastAsia="Calibri" w:hAnsiTheme="minorHAnsi"/>
          <w:b/>
          <w:sz w:val="24"/>
          <w:szCs w:val="24"/>
        </w:rPr>
        <w:t>Mi</w:t>
      </w:r>
      <w:proofErr w:type="spellEnd"/>
      <w:r w:rsidR="0056644B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56644B" w:rsidRPr="004364E5">
        <w:rPr>
          <w:rFonts w:asciiTheme="minorHAnsi" w:eastAsia="Calibri" w:hAnsiTheme="minorHAnsi"/>
          <w:b/>
          <w:sz w:val="24"/>
          <w:szCs w:val="24"/>
        </w:rPr>
        <w:t>a</w:t>
      </w:r>
      <w:r w:rsidR="00D07AD9" w:rsidRPr="004364E5">
        <w:rPr>
          <w:rFonts w:asciiTheme="minorHAnsi" w:eastAsia="Calibri" w:hAnsiTheme="minorHAnsi"/>
          <w:b/>
          <w:sz w:val="24"/>
          <w:szCs w:val="24"/>
        </w:rPr>
        <w:t>datokkal</w:t>
      </w:r>
      <w:proofErr w:type="spellEnd"/>
      <w:r w:rsidR="00D07AD9" w:rsidRPr="004364E5">
        <w:rPr>
          <w:rFonts w:asciiTheme="minorHAnsi" w:eastAsia="Calibri" w:hAnsiTheme="minorHAnsi"/>
          <w:b/>
          <w:sz w:val="24"/>
          <w:szCs w:val="24"/>
        </w:rPr>
        <w:t xml:space="preserve">, </w:t>
      </w:r>
      <w:proofErr w:type="spellStart"/>
      <w:r w:rsidR="00D07AD9" w:rsidRPr="004364E5">
        <w:rPr>
          <w:rFonts w:asciiTheme="minorHAnsi" w:eastAsia="Calibri" w:hAnsiTheme="minorHAnsi"/>
          <w:b/>
          <w:sz w:val="24"/>
          <w:szCs w:val="24"/>
        </w:rPr>
        <w:t>tényekkel</w:t>
      </w:r>
      <w:proofErr w:type="spellEnd"/>
      <w:r w:rsidR="00D07AD9" w:rsidRPr="004364E5">
        <w:rPr>
          <w:rFonts w:asciiTheme="minorHAnsi" w:eastAsia="Calibri" w:hAnsiTheme="minorHAnsi"/>
          <w:b/>
          <w:sz w:val="24"/>
          <w:szCs w:val="24"/>
        </w:rPr>
        <w:t xml:space="preserve"> is </w:t>
      </w:r>
      <w:proofErr w:type="spellStart"/>
      <w:r w:rsidR="00E27CB6" w:rsidRPr="004364E5">
        <w:rPr>
          <w:rFonts w:asciiTheme="minorHAnsi" w:eastAsia="Calibri" w:hAnsiTheme="minorHAnsi"/>
          <w:b/>
          <w:sz w:val="24"/>
          <w:szCs w:val="24"/>
        </w:rPr>
        <w:t>igyekeztünk</w:t>
      </w:r>
      <w:proofErr w:type="spellEnd"/>
      <w:r w:rsidR="00E27CB6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E27CB6" w:rsidRPr="004364E5">
        <w:rPr>
          <w:rFonts w:asciiTheme="minorHAnsi" w:eastAsia="Calibri" w:hAnsiTheme="minorHAnsi"/>
          <w:b/>
          <w:sz w:val="24"/>
          <w:szCs w:val="24"/>
        </w:rPr>
        <w:t>alá</w:t>
      </w:r>
      <w:r w:rsidR="003E6997" w:rsidRPr="004364E5">
        <w:rPr>
          <w:rFonts w:asciiTheme="minorHAnsi" w:eastAsia="Calibri" w:hAnsiTheme="minorHAnsi"/>
          <w:b/>
          <w:sz w:val="24"/>
          <w:szCs w:val="24"/>
        </w:rPr>
        <w:t>támasztani</w:t>
      </w:r>
      <w:proofErr w:type="spellEnd"/>
      <w:r w:rsidR="003E6997" w:rsidRPr="004364E5">
        <w:rPr>
          <w:rFonts w:asciiTheme="minorHAnsi" w:eastAsia="Calibri" w:hAnsiTheme="minorHAnsi"/>
          <w:b/>
          <w:sz w:val="24"/>
          <w:szCs w:val="24"/>
        </w:rPr>
        <w:t xml:space="preserve">, </w:t>
      </w:r>
      <w:proofErr w:type="spellStart"/>
      <w:r w:rsidR="003E6997" w:rsidRPr="004364E5">
        <w:rPr>
          <w:rFonts w:asciiTheme="minorHAnsi" w:eastAsia="Calibri" w:hAnsiTheme="minorHAnsi"/>
          <w:b/>
          <w:sz w:val="24"/>
          <w:szCs w:val="24"/>
        </w:rPr>
        <w:t>hogy</w:t>
      </w:r>
      <w:proofErr w:type="spellEnd"/>
      <w:r w:rsidR="003E6997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r w:rsidR="006366BB" w:rsidRPr="004364E5">
        <w:rPr>
          <w:rFonts w:asciiTheme="minorHAnsi" w:eastAsia="Calibri" w:hAnsiTheme="minorHAnsi"/>
          <w:b/>
          <w:sz w:val="24"/>
          <w:szCs w:val="24"/>
        </w:rPr>
        <w:t xml:space="preserve">a </w:t>
      </w:r>
      <w:proofErr w:type="spellStart"/>
      <w:r w:rsidR="006366BB" w:rsidRPr="004364E5">
        <w:rPr>
          <w:rFonts w:asciiTheme="minorHAnsi" w:eastAsia="Calibri" w:hAnsiTheme="minorHAnsi"/>
          <w:b/>
          <w:sz w:val="24"/>
          <w:szCs w:val="24"/>
        </w:rPr>
        <w:t>javasolt</w:t>
      </w:r>
      <w:proofErr w:type="spellEnd"/>
      <w:r w:rsidR="006366BB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6366BB" w:rsidRPr="004364E5">
        <w:rPr>
          <w:rFonts w:asciiTheme="minorHAnsi" w:eastAsia="Calibri" w:hAnsiTheme="minorHAnsi"/>
          <w:b/>
          <w:sz w:val="24"/>
          <w:szCs w:val="24"/>
        </w:rPr>
        <w:t>minimá</w:t>
      </w:r>
      <w:r w:rsidR="00E27CB6" w:rsidRPr="004364E5">
        <w:rPr>
          <w:rFonts w:asciiTheme="minorHAnsi" w:eastAsia="Calibri" w:hAnsiTheme="minorHAnsi"/>
          <w:b/>
          <w:sz w:val="24"/>
          <w:szCs w:val="24"/>
        </w:rPr>
        <w:t>l</w:t>
      </w:r>
      <w:r w:rsidR="003E6997" w:rsidRPr="004364E5">
        <w:rPr>
          <w:rFonts w:asciiTheme="minorHAnsi" w:eastAsia="Calibri" w:hAnsiTheme="minorHAnsi"/>
          <w:b/>
          <w:sz w:val="24"/>
          <w:szCs w:val="24"/>
        </w:rPr>
        <w:t>bér</w:t>
      </w:r>
      <w:proofErr w:type="spellEnd"/>
      <w:r w:rsidR="003E6997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3E6997" w:rsidRPr="004364E5">
        <w:rPr>
          <w:rFonts w:asciiTheme="minorHAnsi" w:eastAsia="Calibri" w:hAnsiTheme="minorHAnsi"/>
          <w:b/>
          <w:sz w:val="24"/>
          <w:szCs w:val="24"/>
        </w:rPr>
        <w:t>emelések</w:t>
      </w:r>
      <w:proofErr w:type="spellEnd"/>
      <w:r w:rsidR="003E6997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proofErr w:type="gramStart"/>
      <w:r w:rsidR="003E6997" w:rsidRPr="004364E5">
        <w:rPr>
          <w:rFonts w:asciiTheme="minorHAnsi" w:eastAsia="Calibri" w:hAnsiTheme="minorHAnsi"/>
          <w:b/>
          <w:sz w:val="24"/>
          <w:szCs w:val="24"/>
          <w:u w:val="single"/>
        </w:rPr>
        <w:t>szükségesek</w:t>
      </w:r>
      <w:proofErr w:type="spellEnd"/>
      <w:r w:rsidR="003E6997" w:rsidRPr="004364E5">
        <w:rPr>
          <w:rFonts w:asciiTheme="minorHAnsi" w:eastAsia="Calibri" w:hAnsiTheme="minorHAnsi"/>
          <w:b/>
          <w:sz w:val="24"/>
          <w:szCs w:val="24"/>
          <w:u w:val="single"/>
        </w:rPr>
        <w:t xml:space="preserve">  </w:t>
      </w:r>
      <w:proofErr w:type="spellStart"/>
      <w:r w:rsidR="003E6997" w:rsidRPr="004364E5">
        <w:rPr>
          <w:rFonts w:asciiTheme="minorHAnsi" w:eastAsia="Calibri" w:hAnsiTheme="minorHAnsi"/>
          <w:b/>
          <w:sz w:val="24"/>
          <w:szCs w:val="24"/>
          <w:u w:val="single"/>
        </w:rPr>
        <w:t>és</w:t>
      </w:r>
      <w:proofErr w:type="spellEnd"/>
      <w:proofErr w:type="gramEnd"/>
      <w:r w:rsidR="003E6997" w:rsidRPr="004364E5">
        <w:rPr>
          <w:rFonts w:asciiTheme="minorHAnsi" w:eastAsia="Calibri" w:hAnsiTheme="minorHAnsi"/>
          <w:b/>
          <w:sz w:val="24"/>
          <w:szCs w:val="24"/>
          <w:u w:val="single"/>
        </w:rPr>
        <w:t xml:space="preserve"> </w:t>
      </w:r>
      <w:proofErr w:type="spellStart"/>
      <w:r w:rsidR="003E6997" w:rsidRPr="004364E5">
        <w:rPr>
          <w:rFonts w:asciiTheme="minorHAnsi" w:eastAsia="Calibri" w:hAnsiTheme="minorHAnsi"/>
          <w:b/>
          <w:sz w:val="24"/>
          <w:szCs w:val="24"/>
          <w:u w:val="single"/>
        </w:rPr>
        <w:t>lehetségesek</w:t>
      </w:r>
      <w:proofErr w:type="spellEnd"/>
      <w:r w:rsidR="006366BB" w:rsidRPr="004364E5">
        <w:rPr>
          <w:rFonts w:asciiTheme="minorHAnsi" w:eastAsia="Calibri" w:hAnsiTheme="minorHAnsi"/>
          <w:b/>
          <w:sz w:val="24"/>
          <w:szCs w:val="24"/>
          <w:u w:val="single"/>
        </w:rPr>
        <w:t>.</w:t>
      </w:r>
      <w:r w:rsidR="006366BB" w:rsidRPr="004364E5">
        <w:rPr>
          <w:rFonts w:asciiTheme="minorHAnsi" w:eastAsia="Calibri" w:hAnsiTheme="minorHAnsi"/>
          <w:b/>
          <w:sz w:val="24"/>
          <w:szCs w:val="24"/>
        </w:rPr>
        <w:t xml:space="preserve">  </w:t>
      </w:r>
    </w:p>
    <w:p w:rsidR="00D07AD9" w:rsidRPr="004364E5" w:rsidRDefault="00D07AD9" w:rsidP="00D07AD9">
      <w:pPr>
        <w:pStyle w:val="Listaszerbekezds"/>
        <w:spacing w:line="276" w:lineRule="auto"/>
        <w:rPr>
          <w:rFonts w:asciiTheme="minorHAnsi" w:eastAsia="Calibri" w:hAnsiTheme="minorHAnsi"/>
          <w:b/>
          <w:sz w:val="24"/>
          <w:szCs w:val="24"/>
        </w:rPr>
      </w:pPr>
    </w:p>
    <w:p w:rsidR="002E65CE" w:rsidRPr="004364E5" w:rsidRDefault="002E65CE" w:rsidP="002E65CE">
      <w:pPr>
        <w:ind w:left="708"/>
        <w:rPr>
          <w:rFonts w:asciiTheme="minorHAnsi" w:hAnsiTheme="minorHAnsi"/>
          <w:b/>
          <w:sz w:val="24"/>
          <w:szCs w:val="24"/>
        </w:rPr>
      </w:pPr>
      <w:r w:rsidRPr="004364E5">
        <w:rPr>
          <w:rFonts w:asciiTheme="minorHAnsi" w:hAnsiTheme="minorHAnsi"/>
          <w:b/>
          <w:sz w:val="24"/>
          <w:szCs w:val="24"/>
        </w:rPr>
        <w:t xml:space="preserve">A 2016-os </w:t>
      </w:r>
      <w:proofErr w:type="spellStart"/>
      <w:r w:rsidRPr="004364E5">
        <w:rPr>
          <w:rFonts w:asciiTheme="minorHAnsi" w:hAnsiTheme="minorHAnsi"/>
          <w:b/>
          <w:sz w:val="24"/>
          <w:szCs w:val="24"/>
        </w:rPr>
        <w:t>év</w:t>
      </w:r>
      <w:proofErr w:type="spellEnd"/>
      <w:r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6644B" w:rsidRPr="004364E5">
        <w:rPr>
          <w:rFonts w:asciiTheme="minorHAnsi" w:hAnsiTheme="minorHAnsi"/>
          <w:b/>
          <w:sz w:val="24"/>
          <w:szCs w:val="24"/>
        </w:rPr>
        <w:t>foglalkoztatási</w:t>
      </w:r>
      <w:proofErr w:type="spellEnd"/>
      <w:r w:rsidR="0056644B"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6644B" w:rsidRPr="004364E5">
        <w:rPr>
          <w:rFonts w:asciiTheme="minorHAnsi" w:hAnsiTheme="minorHAnsi"/>
          <w:b/>
          <w:sz w:val="24"/>
          <w:szCs w:val="24"/>
        </w:rPr>
        <w:t>és</w:t>
      </w:r>
      <w:proofErr w:type="spellEnd"/>
      <w:r w:rsidR="0056644B"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6644B" w:rsidRPr="004364E5">
        <w:rPr>
          <w:rFonts w:asciiTheme="minorHAnsi" w:hAnsiTheme="minorHAnsi"/>
          <w:b/>
          <w:sz w:val="24"/>
          <w:szCs w:val="24"/>
        </w:rPr>
        <w:t>inflációs</w:t>
      </w:r>
      <w:proofErr w:type="spellEnd"/>
      <w:r w:rsidR="0056644B"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6644B" w:rsidRPr="004364E5">
        <w:rPr>
          <w:rFonts w:asciiTheme="minorHAnsi" w:hAnsiTheme="minorHAnsi"/>
          <w:b/>
          <w:sz w:val="24"/>
          <w:szCs w:val="24"/>
        </w:rPr>
        <w:t>oldalról</w:t>
      </w:r>
      <w:proofErr w:type="spellEnd"/>
      <w:r w:rsidR="0056644B" w:rsidRPr="004364E5">
        <w:rPr>
          <w:rFonts w:asciiTheme="minorHAnsi" w:hAnsiTheme="minorHAnsi"/>
          <w:b/>
          <w:sz w:val="24"/>
          <w:szCs w:val="24"/>
        </w:rPr>
        <w:t xml:space="preserve"> is </w:t>
      </w:r>
      <w:proofErr w:type="spellStart"/>
      <w:r w:rsidR="0056644B" w:rsidRPr="004364E5">
        <w:rPr>
          <w:rFonts w:asciiTheme="minorHAnsi" w:hAnsiTheme="minorHAnsi"/>
          <w:b/>
          <w:sz w:val="24"/>
          <w:szCs w:val="24"/>
        </w:rPr>
        <w:t>kedvező</w:t>
      </w:r>
      <w:proofErr w:type="spellEnd"/>
      <w:r w:rsidR="0056644B"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6644B" w:rsidRPr="004364E5">
        <w:rPr>
          <w:rFonts w:asciiTheme="minorHAnsi" w:hAnsiTheme="minorHAnsi"/>
          <w:b/>
          <w:sz w:val="24"/>
          <w:szCs w:val="24"/>
        </w:rPr>
        <w:t>arra</w:t>
      </w:r>
      <w:proofErr w:type="spellEnd"/>
      <w:r w:rsidR="0056644B" w:rsidRPr="004364E5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="0056644B" w:rsidRPr="004364E5">
        <w:rPr>
          <w:rFonts w:asciiTheme="minorHAnsi" w:hAnsiTheme="minorHAnsi"/>
          <w:b/>
          <w:sz w:val="24"/>
          <w:szCs w:val="24"/>
        </w:rPr>
        <w:t>hogy</w:t>
      </w:r>
      <w:proofErr w:type="spellEnd"/>
      <w:r w:rsidR="0056644B" w:rsidRPr="004364E5">
        <w:rPr>
          <w:rFonts w:asciiTheme="minorHAnsi" w:hAnsiTheme="minorHAnsi"/>
          <w:b/>
          <w:sz w:val="24"/>
          <w:szCs w:val="24"/>
        </w:rPr>
        <w:t xml:space="preserve"> </w:t>
      </w:r>
      <w:r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6644B" w:rsidRPr="004364E5">
        <w:rPr>
          <w:rFonts w:asciiTheme="minorHAnsi" w:hAnsiTheme="minorHAnsi"/>
          <w:b/>
          <w:sz w:val="24"/>
          <w:szCs w:val="24"/>
        </w:rPr>
        <w:t>érdemi</w:t>
      </w:r>
      <w:proofErr w:type="spellEnd"/>
      <w:r w:rsidR="0056644B"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hAnsiTheme="minorHAnsi"/>
          <w:b/>
          <w:sz w:val="24"/>
          <w:szCs w:val="24"/>
        </w:rPr>
        <w:t>elmozdulás</w:t>
      </w:r>
      <w:proofErr w:type="spellEnd"/>
      <w:r w:rsidR="0056644B"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6644B" w:rsidRPr="004364E5">
        <w:rPr>
          <w:rFonts w:asciiTheme="minorHAnsi" w:hAnsiTheme="minorHAnsi"/>
          <w:b/>
          <w:sz w:val="24"/>
          <w:szCs w:val="24"/>
        </w:rPr>
        <w:t>történjen</w:t>
      </w:r>
      <w:proofErr w:type="spellEnd"/>
      <w:r w:rsidR="0056644B" w:rsidRPr="004364E5">
        <w:rPr>
          <w:rFonts w:asciiTheme="minorHAnsi" w:hAnsiTheme="minorHAnsi"/>
          <w:b/>
          <w:sz w:val="24"/>
          <w:szCs w:val="24"/>
        </w:rPr>
        <w:t xml:space="preserve"> </w:t>
      </w:r>
      <w:r w:rsidRPr="004364E5">
        <w:rPr>
          <w:rFonts w:asciiTheme="minorHAnsi" w:hAnsiTheme="minorHAnsi"/>
          <w:b/>
          <w:sz w:val="24"/>
          <w:szCs w:val="24"/>
        </w:rPr>
        <w:t xml:space="preserve">  a  </w:t>
      </w:r>
      <w:proofErr w:type="spellStart"/>
      <w:r w:rsidRPr="004364E5">
        <w:rPr>
          <w:rFonts w:asciiTheme="minorHAnsi" w:hAnsiTheme="minorHAnsi"/>
          <w:b/>
          <w:sz w:val="24"/>
          <w:szCs w:val="24"/>
        </w:rPr>
        <w:t>bérfelzárkóztatás</w:t>
      </w:r>
      <w:proofErr w:type="spellEnd"/>
      <w:r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hAnsiTheme="minorHAnsi"/>
          <w:b/>
          <w:sz w:val="24"/>
          <w:szCs w:val="24"/>
        </w:rPr>
        <w:t>érdekében</w:t>
      </w:r>
      <w:proofErr w:type="spellEnd"/>
      <w:r w:rsidR="00D07AD9" w:rsidRPr="004364E5">
        <w:rPr>
          <w:rFonts w:asciiTheme="minorHAnsi" w:hAnsiTheme="minorHAnsi"/>
          <w:b/>
          <w:sz w:val="24"/>
          <w:szCs w:val="24"/>
        </w:rPr>
        <w:t xml:space="preserve">: </w:t>
      </w:r>
      <w:r w:rsidRPr="004364E5">
        <w:rPr>
          <w:rFonts w:asciiTheme="minorHAnsi" w:hAnsiTheme="minorHAnsi"/>
          <w:b/>
          <w:sz w:val="24"/>
          <w:szCs w:val="24"/>
        </w:rPr>
        <w:t xml:space="preserve"> </w:t>
      </w:r>
      <w:r w:rsidR="0056644B" w:rsidRPr="004364E5">
        <w:rPr>
          <w:rFonts w:asciiTheme="minorHAnsi" w:hAnsiTheme="minorHAnsi"/>
          <w:b/>
          <w:sz w:val="24"/>
          <w:szCs w:val="24"/>
        </w:rPr>
        <w:t xml:space="preserve"> </w:t>
      </w:r>
      <w:r w:rsidRPr="004364E5">
        <w:rPr>
          <w:rFonts w:asciiTheme="minorHAnsi" w:hAnsiTheme="minorHAnsi"/>
          <w:b/>
          <w:sz w:val="24"/>
          <w:szCs w:val="24"/>
        </w:rPr>
        <w:t xml:space="preserve">a </w:t>
      </w:r>
      <w:proofErr w:type="spellStart"/>
      <w:r w:rsidRPr="004364E5">
        <w:rPr>
          <w:rFonts w:asciiTheme="minorHAnsi" w:hAnsiTheme="minorHAnsi"/>
          <w:b/>
          <w:sz w:val="24"/>
          <w:szCs w:val="24"/>
        </w:rPr>
        <w:t>megélhetési</w:t>
      </w:r>
      <w:proofErr w:type="spellEnd"/>
      <w:r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hAnsiTheme="minorHAnsi"/>
          <w:b/>
          <w:sz w:val="24"/>
          <w:szCs w:val="24"/>
        </w:rPr>
        <w:t>költségekhez</w:t>
      </w:r>
      <w:proofErr w:type="spellEnd"/>
      <w:r w:rsidR="0056644B" w:rsidRPr="004364E5">
        <w:rPr>
          <w:rFonts w:asciiTheme="minorHAnsi" w:hAnsiTheme="minorHAnsi"/>
          <w:b/>
          <w:sz w:val="24"/>
          <w:szCs w:val="24"/>
        </w:rPr>
        <w:t xml:space="preserve"> (</w:t>
      </w:r>
      <w:proofErr w:type="spellStart"/>
      <w:r w:rsidR="0056644B" w:rsidRPr="004364E5">
        <w:rPr>
          <w:rFonts w:asciiTheme="minorHAnsi" w:hAnsiTheme="minorHAnsi"/>
          <w:b/>
          <w:sz w:val="24"/>
          <w:szCs w:val="24"/>
        </w:rPr>
        <w:t>lásd</w:t>
      </w:r>
      <w:proofErr w:type="spellEnd"/>
      <w:r w:rsidR="0056644B" w:rsidRPr="004364E5">
        <w:rPr>
          <w:rFonts w:asciiTheme="minorHAnsi" w:hAnsiTheme="minorHAnsi"/>
          <w:b/>
          <w:sz w:val="24"/>
          <w:szCs w:val="24"/>
        </w:rPr>
        <w:t xml:space="preserve"> a </w:t>
      </w:r>
      <w:proofErr w:type="spellStart"/>
      <w:r w:rsidR="0056644B" w:rsidRPr="004364E5">
        <w:rPr>
          <w:rFonts w:asciiTheme="minorHAnsi" w:hAnsiTheme="minorHAnsi"/>
          <w:b/>
          <w:sz w:val="24"/>
          <w:szCs w:val="24"/>
        </w:rPr>
        <w:t>létminimumtól</w:t>
      </w:r>
      <w:proofErr w:type="spellEnd"/>
      <w:r w:rsidR="0056644B"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6644B" w:rsidRPr="004364E5">
        <w:rPr>
          <w:rFonts w:asciiTheme="minorHAnsi" w:hAnsiTheme="minorHAnsi"/>
          <w:b/>
          <w:sz w:val="24"/>
          <w:szCs w:val="24"/>
        </w:rPr>
        <w:t>való</w:t>
      </w:r>
      <w:proofErr w:type="spellEnd"/>
      <w:r w:rsidR="0056644B"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6644B" w:rsidRPr="004364E5">
        <w:rPr>
          <w:rFonts w:asciiTheme="minorHAnsi" w:hAnsiTheme="minorHAnsi"/>
          <w:b/>
          <w:sz w:val="24"/>
          <w:szCs w:val="24"/>
        </w:rPr>
        <w:t>elmaradást</w:t>
      </w:r>
      <w:proofErr w:type="spellEnd"/>
      <w:r w:rsidR="0056644B" w:rsidRPr="004364E5">
        <w:rPr>
          <w:rFonts w:asciiTheme="minorHAnsi" w:hAnsiTheme="minorHAnsi"/>
          <w:b/>
          <w:sz w:val="24"/>
          <w:szCs w:val="24"/>
        </w:rPr>
        <w:t>)</w:t>
      </w:r>
      <w:r w:rsidRPr="004364E5">
        <w:rPr>
          <w:rFonts w:asciiTheme="minorHAnsi" w:hAnsiTheme="minorHAnsi"/>
          <w:b/>
          <w:sz w:val="24"/>
          <w:szCs w:val="24"/>
        </w:rPr>
        <w:t xml:space="preserve">, a </w:t>
      </w:r>
      <w:proofErr w:type="spellStart"/>
      <w:r w:rsidR="0056644B" w:rsidRPr="004364E5">
        <w:rPr>
          <w:rFonts w:asciiTheme="minorHAnsi" w:hAnsiTheme="minorHAnsi"/>
          <w:b/>
          <w:sz w:val="24"/>
          <w:szCs w:val="24"/>
        </w:rPr>
        <w:t>munkaerő</w:t>
      </w:r>
      <w:proofErr w:type="spellEnd"/>
      <w:r w:rsidR="0056644B"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6644B" w:rsidRPr="004364E5">
        <w:rPr>
          <w:rFonts w:asciiTheme="minorHAnsi" w:hAnsiTheme="minorHAnsi"/>
          <w:b/>
          <w:sz w:val="24"/>
          <w:szCs w:val="24"/>
        </w:rPr>
        <w:t>mobilitást</w:t>
      </w:r>
      <w:proofErr w:type="spellEnd"/>
      <w:r w:rsidR="0056644B"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6644B" w:rsidRPr="004364E5">
        <w:rPr>
          <w:rFonts w:asciiTheme="minorHAnsi" w:hAnsiTheme="minorHAnsi"/>
          <w:b/>
          <w:sz w:val="24"/>
          <w:szCs w:val="24"/>
        </w:rPr>
        <w:t>mozgató</w:t>
      </w:r>
      <w:proofErr w:type="spellEnd"/>
      <w:r w:rsidR="0056644B"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hAnsiTheme="minorHAnsi"/>
          <w:b/>
          <w:sz w:val="24"/>
          <w:szCs w:val="24"/>
        </w:rPr>
        <w:t>bérszint</w:t>
      </w:r>
      <w:r w:rsidR="0056644B" w:rsidRPr="004364E5">
        <w:rPr>
          <w:rFonts w:asciiTheme="minorHAnsi" w:hAnsiTheme="minorHAnsi"/>
          <w:b/>
          <w:sz w:val="24"/>
          <w:szCs w:val="24"/>
        </w:rPr>
        <w:t>ek</w:t>
      </w:r>
      <w:r w:rsidRPr="004364E5">
        <w:rPr>
          <w:rFonts w:asciiTheme="minorHAnsi" w:hAnsiTheme="minorHAnsi"/>
          <w:b/>
          <w:sz w:val="24"/>
          <w:szCs w:val="24"/>
        </w:rPr>
        <w:t>hez</w:t>
      </w:r>
      <w:proofErr w:type="spellEnd"/>
      <w:r w:rsidR="0056644B" w:rsidRPr="004364E5">
        <w:rPr>
          <w:rFonts w:asciiTheme="minorHAnsi" w:hAnsiTheme="minorHAnsi"/>
          <w:b/>
          <w:sz w:val="24"/>
          <w:szCs w:val="24"/>
        </w:rPr>
        <w:t xml:space="preserve"> (</w:t>
      </w:r>
      <w:proofErr w:type="spellStart"/>
      <w:r w:rsidR="0056644B" w:rsidRPr="004364E5">
        <w:rPr>
          <w:rFonts w:asciiTheme="minorHAnsi" w:hAnsiTheme="minorHAnsi"/>
          <w:b/>
          <w:sz w:val="24"/>
          <w:szCs w:val="24"/>
        </w:rPr>
        <w:t>lásd</w:t>
      </w:r>
      <w:proofErr w:type="spellEnd"/>
      <w:r w:rsidR="0056644B" w:rsidRPr="004364E5">
        <w:rPr>
          <w:rFonts w:asciiTheme="minorHAnsi" w:hAnsiTheme="minorHAnsi"/>
          <w:b/>
          <w:sz w:val="24"/>
          <w:szCs w:val="24"/>
        </w:rPr>
        <w:t xml:space="preserve"> a </w:t>
      </w:r>
      <w:proofErr w:type="spellStart"/>
      <w:r w:rsidR="0056644B" w:rsidRPr="004364E5">
        <w:rPr>
          <w:rFonts w:asciiTheme="minorHAnsi" w:hAnsiTheme="minorHAnsi"/>
          <w:b/>
          <w:sz w:val="24"/>
          <w:szCs w:val="24"/>
        </w:rPr>
        <w:t>képzett</w:t>
      </w:r>
      <w:proofErr w:type="spellEnd"/>
      <w:r w:rsidR="0056644B" w:rsidRPr="004364E5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="0056644B" w:rsidRPr="004364E5">
        <w:rPr>
          <w:rFonts w:asciiTheme="minorHAnsi" w:hAnsiTheme="minorHAnsi"/>
          <w:b/>
          <w:sz w:val="24"/>
          <w:szCs w:val="24"/>
        </w:rPr>
        <w:t>fiatal</w:t>
      </w:r>
      <w:proofErr w:type="spellEnd"/>
      <w:r w:rsidR="0056644B"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6644B" w:rsidRPr="004364E5">
        <w:rPr>
          <w:rFonts w:asciiTheme="minorHAnsi" w:hAnsiTheme="minorHAnsi"/>
          <w:b/>
          <w:sz w:val="24"/>
          <w:szCs w:val="24"/>
        </w:rPr>
        <w:t>korosztály</w:t>
      </w:r>
      <w:proofErr w:type="spellEnd"/>
      <w:r w:rsidR="0056644B"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6644B" w:rsidRPr="004364E5">
        <w:rPr>
          <w:rFonts w:asciiTheme="minorHAnsi" w:hAnsiTheme="minorHAnsi"/>
          <w:b/>
          <w:sz w:val="24"/>
          <w:szCs w:val="24"/>
        </w:rPr>
        <w:t>gyorsuló</w:t>
      </w:r>
      <w:proofErr w:type="spellEnd"/>
      <w:r w:rsidR="0056644B"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6644B" w:rsidRPr="004364E5">
        <w:rPr>
          <w:rFonts w:asciiTheme="minorHAnsi" w:hAnsiTheme="minorHAnsi"/>
          <w:b/>
          <w:sz w:val="24"/>
          <w:szCs w:val="24"/>
        </w:rPr>
        <w:t>elvándorlását</w:t>
      </w:r>
      <w:proofErr w:type="spellEnd"/>
      <w:r w:rsidR="0056644B" w:rsidRPr="004364E5">
        <w:rPr>
          <w:rFonts w:asciiTheme="minorHAnsi" w:hAnsiTheme="minorHAnsi"/>
          <w:b/>
          <w:sz w:val="24"/>
          <w:szCs w:val="24"/>
        </w:rPr>
        <w:t>)</w:t>
      </w:r>
      <w:r w:rsidRPr="004364E5">
        <w:rPr>
          <w:rFonts w:asciiTheme="minorHAnsi" w:hAnsiTheme="minorHAnsi"/>
          <w:b/>
          <w:sz w:val="24"/>
          <w:szCs w:val="24"/>
        </w:rPr>
        <w:t xml:space="preserve">, a </w:t>
      </w:r>
      <w:proofErr w:type="spellStart"/>
      <w:r w:rsidRPr="004364E5">
        <w:rPr>
          <w:rFonts w:asciiTheme="minorHAnsi" w:hAnsiTheme="minorHAnsi"/>
          <w:b/>
          <w:sz w:val="24"/>
          <w:szCs w:val="24"/>
        </w:rPr>
        <w:t>termelékenységi</w:t>
      </w:r>
      <w:proofErr w:type="spellEnd"/>
      <w:r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hAnsiTheme="minorHAnsi"/>
          <w:b/>
          <w:sz w:val="24"/>
          <w:szCs w:val="24"/>
        </w:rPr>
        <w:t>szinthez</w:t>
      </w:r>
      <w:proofErr w:type="spellEnd"/>
      <w:r w:rsidRPr="004364E5">
        <w:rPr>
          <w:rFonts w:asciiTheme="minorHAnsi" w:hAnsiTheme="minorHAnsi"/>
          <w:b/>
          <w:sz w:val="24"/>
          <w:szCs w:val="24"/>
        </w:rPr>
        <w:t>,</w:t>
      </w:r>
      <w:r w:rsidR="0056644B" w:rsidRPr="004364E5">
        <w:rPr>
          <w:rFonts w:asciiTheme="minorHAnsi" w:hAnsiTheme="minorHAnsi"/>
          <w:b/>
          <w:sz w:val="24"/>
          <w:szCs w:val="24"/>
        </w:rPr>
        <w:t xml:space="preserve"> (</w:t>
      </w:r>
      <w:proofErr w:type="spellStart"/>
      <w:r w:rsidR="0056644B" w:rsidRPr="004364E5">
        <w:rPr>
          <w:rFonts w:asciiTheme="minorHAnsi" w:hAnsiTheme="minorHAnsi"/>
          <w:b/>
          <w:sz w:val="24"/>
          <w:szCs w:val="24"/>
        </w:rPr>
        <w:t>lásd</w:t>
      </w:r>
      <w:proofErr w:type="spellEnd"/>
      <w:r w:rsidR="0056644B" w:rsidRPr="004364E5">
        <w:rPr>
          <w:rFonts w:asciiTheme="minorHAnsi" w:hAnsiTheme="minorHAnsi"/>
          <w:b/>
          <w:sz w:val="24"/>
          <w:szCs w:val="24"/>
        </w:rPr>
        <w:t xml:space="preserve"> a </w:t>
      </w:r>
      <w:proofErr w:type="spellStart"/>
      <w:r w:rsidR="00D07AD9" w:rsidRPr="004364E5">
        <w:rPr>
          <w:rFonts w:asciiTheme="minorHAnsi" w:hAnsiTheme="minorHAnsi"/>
          <w:b/>
          <w:sz w:val="24"/>
          <w:szCs w:val="24"/>
        </w:rPr>
        <w:t>nyugati</w:t>
      </w:r>
      <w:proofErr w:type="spellEnd"/>
      <w:r w:rsidR="00D07AD9"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D07AD9" w:rsidRPr="004364E5">
        <w:rPr>
          <w:rFonts w:asciiTheme="minorHAnsi" w:hAnsiTheme="minorHAnsi"/>
          <w:b/>
          <w:sz w:val="24"/>
          <w:szCs w:val="24"/>
        </w:rPr>
        <w:t>szomszédnál</w:t>
      </w:r>
      <w:proofErr w:type="spellEnd"/>
      <w:r w:rsidR="00D07AD9" w:rsidRPr="004364E5">
        <w:rPr>
          <w:rFonts w:asciiTheme="minorHAnsi" w:hAnsiTheme="minorHAnsi"/>
          <w:b/>
          <w:sz w:val="24"/>
          <w:szCs w:val="24"/>
        </w:rPr>
        <w:t xml:space="preserve"> is </w:t>
      </w:r>
      <w:proofErr w:type="spellStart"/>
      <w:r w:rsidR="00D07AD9" w:rsidRPr="004364E5">
        <w:rPr>
          <w:rFonts w:asciiTheme="minorHAnsi" w:hAnsiTheme="minorHAnsi"/>
          <w:b/>
          <w:sz w:val="24"/>
          <w:szCs w:val="24"/>
        </w:rPr>
        <w:t>magaasabb</w:t>
      </w:r>
      <w:proofErr w:type="spellEnd"/>
      <w:r w:rsidR="00D07AD9"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6644B" w:rsidRPr="004364E5">
        <w:rPr>
          <w:rFonts w:asciiTheme="minorHAnsi" w:hAnsiTheme="minorHAnsi"/>
          <w:b/>
          <w:sz w:val="24"/>
          <w:szCs w:val="24"/>
        </w:rPr>
        <w:t>bértermelékenységi</w:t>
      </w:r>
      <w:proofErr w:type="spellEnd"/>
      <w:r w:rsidR="0056644B"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6644B" w:rsidRPr="004364E5">
        <w:rPr>
          <w:rFonts w:asciiTheme="minorHAnsi" w:hAnsiTheme="minorHAnsi"/>
          <w:b/>
          <w:sz w:val="24"/>
          <w:szCs w:val="24"/>
        </w:rPr>
        <w:t>mutatókat</w:t>
      </w:r>
      <w:proofErr w:type="spellEnd"/>
      <w:r w:rsidR="0056644B" w:rsidRPr="004364E5">
        <w:rPr>
          <w:rFonts w:asciiTheme="minorHAnsi" w:hAnsiTheme="minorHAnsi"/>
          <w:b/>
          <w:sz w:val="24"/>
          <w:szCs w:val="24"/>
        </w:rPr>
        <w:t>),</w:t>
      </w:r>
      <w:r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D07AD9" w:rsidRPr="004364E5">
        <w:rPr>
          <w:rFonts w:asciiTheme="minorHAnsi" w:hAnsiTheme="minorHAnsi"/>
          <w:b/>
          <w:sz w:val="24"/>
          <w:szCs w:val="24"/>
        </w:rPr>
        <w:t>és</w:t>
      </w:r>
      <w:proofErr w:type="spellEnd"/>
      <w:r w:rsidR="00D07AD9"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D07AD9" w:rsidRPr="004364E5">
        <w:rPr>
          <w:rFonts w:asciiTheme="minorHAnsi" w:hAnsiTheme="minorHAnsi"/>
          <w:b/>
          <w:sz w:val="24"/>
          <w:szCs w:val="24"/>
        </w:rPr>
        <w:t>hogy</w:t>
      </w:r>
      <w:proofErr w:type="spellEnd"/>
      <w:r w:rsidR="00D07AD9"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D07AD9" w:rsidRPr="004364E5">
        <w:rPr>
          <w:rFonts w:asciiTheme="minorHAnsi" w:hAnsiTheme="minorHAnsi"/>
          <w:b/>
          <w:sz w:val="24"/>
          <w:szCs w:val="24"/>
        </w:rPr>
        <w:t>közelebb</w:t>
      </w:r>
      <w:proofErr w:type="spellEnd"/>
      <w:r w:rsidR="00D07AD9"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D07AD9" w:rsidRPr="004364E5">
        <w:rPr>
          <w:rFonts w:asciiTheme="minorHAnsi" w:hAnsiTheme="minorHAnsi"/>
          <w:b/>
          <w:sz w:val="24"/>
          <w:szCs w:val="24"/>
        </w:rPr>
        <w:t>jussunk</w:t>
      </w:r>
      <w:proofErr w:type="spellEnd"/>
      <w:r w:rsidR="00D07AD9" w:rsidRPr="004364E5">
        <w:rPr>
          <w:rFonts w:asciiTheme="minorHAnsi" w:hAnsiTheme="minorHAnsi"/>
          <w:b/>
          <w:sz w:val="24"/>
          <w:szCs w:val="24"/>
        </w:rPr>
        <w:t xml:space="preserve"> </w:t>
      </w:r>
      <w:r w:rsidRPr="004364E5">
        <w:rPr>
          <w:rFonts w:asciiTheme="minorHAnsi" w:hAnsiTheme="minorHAnsi"/>
          <w:b/>
          <w:sz w:val="24"/>
          <w:szCs w:val="24"/>
        </w:rPr>
        <w:t xml:space="preserve"> a</w:t>
      </w:r>
      <w:r w:rsidR="0056644B"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6644B" w:rsidRPr="004364E5">
        <w:rPr>
          <w:rFonts w:asciiTheme="minorHAnsi" w:hAnsiTheme="minorHAnsi"/>
          <w:b/>
          <w:sz w:val="24"/>
          <w:szCs w:val="24"/>
        </w:rPr>
        <w:t>megtermelt</w:t>
      </w:r>
      <w:proofErr w:type="spellEnd"/>
      <w:r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hAnsiTheme="minorHAnsi"/>
          <w:b/>
          <w:sz w:val="24"/>
          <w:szCs w:val="24"/>
        </w:rPr>
        <w:t>hozzáadott</w:t>
      </w:r>
      <w:proofErr w:type="spellEnd"/>
      <w:r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hAnsiTheme="minorHAnsi"/>
          <w:b/>
          <w:sz w:val="24"/>
          <w:szCs w:val="24"/>
        </w:rPr>
        <w:t>érték</w:t>
      </w:r>
      <w:proofErr w:type="spellEnd"/>
      <w:r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hAnsiTheme="minorHAnsi"/>
          <w:b/>
          <w:sz w:val="24"/>
          <w:szCs w:val="24"/>
        </w:rPr>
        <w:t>méltányos</w:t>
      </w:r>
      <w:r w:rsidR="0056644B" w:rsidRPr="004364E5">
        <w:rPr>
          <w:rFonts w:asciiTheme="minorHAnsi" w:hAnsiTheme="minorHAnsi"/>
          <w:b/>
          <w:sz w:val="24"/>
          <w:szCs w:val="24"/>
        </w:rPr>
        <w:t>abb</w:t>
      </w:r>
      <w:proofErr w:type="spellEnd"/>
      <w:r w:rsidRPr="004364E5">
        <w:rPr>
          <w:rFonts w:asciiTheme="minorHAnsi" w:hAnsiTheme="minorHAnsi"/>
          <w:b/>
          <w:sz w:val="24"/>
          <w:szCs w:val="24"/>
        </w:rPr>
        <w:t xml:space="preserve">  </w:t>
      </w:r>
      <w:proofErr w:type="spellStart"/>
      <w:r w:rsidRPr="004364E5">
        <w:rPr>
          <w:rFonts w:asciiTheme="minorHAnsi" w:hAnsiTheme="minorHAnsi"/>
          <w:b/>
          <w:sz w:val="24"/>
          <w:szCs w:val="24"/>
        </w:rPr>
        <w:t>elosztás</w:t>
      </w:r>
      <w:r w:rsidR="0056644B" w:rsidRPr="004364E5">
        <w:rPr>
          <w:rFonts w:asciiTheme="minorHAnsi" w:hAnsiTheme="minorHAnsi"/>
          <w:b/>
          <w:sz w:val="24"/>
          <w:szCs w:val="24"/>
        </w:rPr>
        <w:t>a</w:t>
      </w:r>
      <w:proofErr w:type="spellEnd"/>
      <w:r w:rsidR="0056644B"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6644B" w:rsidRPr="004364E5">
        <w:rPr>
          <w:rFonts w:asciiTheme="minorHAnsi" w:hAnsiTheme="minorHAnsi"/>
          <w:b/>
          <w:sz w:val="24"/>
          <w:szCs w:val="24"/>
        </w:rPr>
        <w:t>felé</w:t>
      </w:r>
      <w:proofErr w:type="spellEnd"/>
      <w:r w:rsidR="0056644B" w:rsidRPr="004364E5">
        <w:rPr>
          <w:rFonts w:asciiTheme="minorHAnsi" w:hAnsiTheme="minorHAnsi"/>
          <w:b/>
          <w:sz w:val="24"/>
          <w:szCs w:val="24"/>
        </w:rPr>
        <w:t xml:space="preserve"> (</w:t>
      </w:r>
      <w:proofErr w:type="spellStart"/>
      <w:r w:rsidR="0056644B" w:rsidRPr="004364E5">
        <w:rPr>
          <w:rFonts w:asciiTheme="minorHAnsi" w:hAnsiTheme="minorHAnsi"/>
          <w:b/>
          <w:sz w:val="24"/>
          <w:szCs w:val="24"/>
        </w:rPr>
        <w:t>lásd</w:t>
      </w:r>
      <w:proofErr w:type="spellEnd"/>
      <w:r w:rsidR="0056644B" w:rsidRPr="004364E5">
        <w:rPr>
          <w:rFonts w:asciiTheme="minorHAnsi" w:hAnsiTheme="minorHAnsi"/>
          <w:b/>
          <w:sz w:val="24"/>
          <w:szCs w:val="24"/>
        </w:rPr>
        <w:t xml:space="preserve"> a </w:t>
      </w:r>
      <w:proofErr w:type="spellStart"/>
      <w:r w:rsidR="0056644B" w:rsidRPr="004364E5">
        <w:rPr>
          <w:rFonts w:asciiTheme="minorHAnsi" w:hAnsiTheme="minorHAnsi"/>
          <w:b/>
          <w:sz w:val="24"/>
          <w:szCs w:val="24"/>
        </w:rPr>
        <w:t>bérek</w:t>
      </w:r>
      <w:proofErr w:type="spellEnd"/>
      <w:r w:rsidR="0056644B"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6644B" w:rsidRPr="004364E5">
        <w:rPr>
          <w:rFonts w:asciiTheme="minorHAnsi" w:hAnsiTheme="minorHAnsi"/>
          <w:b/>
          <w:sz w:val="24"/>
          <w:szCs w:val="24"/>
        </w:rPr>
        <w:t>visszaszorulását</w:t>
      </w:r>
      <w:proofErr w:type="spellEnd"/>
      <w:r w:rsidR="0056644B" w:rsidRPr="004364E5">
        <w:rPr>
          <w:rFonts w:asciiTheme="minorHAnsi" w:hAnsiTheme="minorHAnsi"/>
          <w:b/>
          <w:sz w:val="24"/>
          <w:szCs w:val="24"/>
        </w:rPr>
        <w:t xml:space="preserve"> a </w:t>
      </w:r>
      <w:proofErr w:type="spellStart"/>
      <w:r w:rsidR="0056644B" w:rsidRPr="004364E5">
        <w:rPr>
          <w:rFonts w:asciiTheme="minorHAnsi" w:hAnsiTheme="minorHAnsi"/>
          <w:b/>
          <w:sz w:val="24"/>
          <w:szCs w:val="24"/>
        </w:rPr>
        <w:t>megtermelt</w:t>
      </w:r>
      <w:proofErr w:type="spellEnd"/>
      <w:r w:rsidR="0056644B"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6644B" w:rsidRPr="004364E5">
        <w:rPr>
          <w:rFonts w:asciiTheme="minorHAnsi" w:hAnsiTheme="minorHAnsi"/>
          <w:b/>
          <w:sz w:val="24"/>
          <w:szCs w:val="24"/>
        </w:rPr>
        <w:t>hozzáadott</w:t>
      </w:r>
      <w:proofErr w:type="spellEnd"/>
      <w:r w:rsidR="0056644B"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6644B" w:rsidRPr="004364E5">
        <w:rPr>
          <w:rFonts w:asciiTheme="minorHAnsi" w:hAnsiTheme="minorHAnsi"/>
          <w:b/>
          <w:sz w:val="24"/>
          <w:szCs w:val="24"/>
        </w:rPr>
        <w:t>értékből</w:t>
      </w:r>
      <w:proofErr w:type="spellEnd"/>
      <w:r w:rsidR="0056644B" w:rsidRPr="004364E5">
        <w:rPr>
          <w:rFonts w:asciiTheme="minorHAnsi" w:hAnsiTheme="minorHAnsi"/>
          <w:b/>
          <w:sz w:val="24"/>
          <w:szCs w:val="24"/>
        </w:rPr>
        <w:t>)</w:t>
      </w:r>
      <w:r w:rsidRPr="004364E5">
        <w:rPr>
          <w:rFonts w:asciiTheme="minorHAnsi" w:hAnsiTheme="minorHAnsi"/>
          <w:b/>
          <w:sz w:val="24"/>
          <w:szCs w:val="24"/>
        </w:rPr>
        <w:t>.</w:t>
      </w:r>
    </w:p>
    <w:p w:rsidR="00D07AD9" w:rsidRPr="004364E5" w:rsidRDefault="00D07AD9" w:rsidP="002E65CE">
      <w:pPr>
        <w:ind w:left="708"/>
        <w:rPr>
          <w:rFonts w:asciiTheme="minorHAnsi" w:hAnsiTheme="minorHAnsi"/>
          <w:b/>
          <w:sz w:val="24"/>
          <w:szCs w:val="24"/>
        </w:rPr>
      </w:pPr>
    </w:p>
    <w:p w:rsidR="002E65CE" w:rsidRPr="004364E5" w:rsidRDefault="002E65CE" w:rsidP="002E65CE">
      <w:pPr>
        <w:ind w:left="708"/>
        <w:rPr>
          <w:rFonts w:asciiTheme="minorHAnsi" w:hAnsiTheme="minorHAnsi"/>
          <w:b/>
          <w:sz w:val="24"/>
          <w:szCs w:val="24"/>
        </w:rPr>
      </w:pPr>
      <w:r w:rsidRPr="004364E5">
        <w:rPr>
          <w:rFonts w:asciiTheme="minorHAnsi" w:hAnsiTheme="minorHAnsi"/>
          <w:b/>
          <w:sz w:val="24"/>
          <w:szCs w:val="24"/>
        </w:rPr>
        <w:lastRenderedPageBreak/>
        <w:t xml:space="preserve">A </w:t>
      </w:r>
      <w:proofErr w:type="spellStart"/>
      <w:proofErr w:type="gramStart"/>
      <w:r w:rsidRPr="004364E5">
        <w:rPr>
          <w:rFonts w:asciiTheme="minorHAnsi" w:hAnsiTheme="minorHAnsi"/>
          <w:b/>
          <w:sz w:val="24"/>
          <w:szCs w:val="24"/>
        </w:rPr>
        <w:t>cél</w:t>
      </w:r>
      <w:proofErr w:type="spellEnd"/>
      <w:r w:rsidRPr="004364E5">
        <w:rPr>
          <w:rFonts w:asciiTheme="minorHAnsi" w:hAnsiTheme="minorHAnsi"/>
          <w:b/>
          <w:sz w:val="24"/>
          <w:szCs w:val="24"/>
        </w:rPr>
        <w:t xml:space="preserve"> </w:t>
      </w:r>
      <w:r w:rsidR="0056644B"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6644B" w:rsidRPr="004364E5">
        <w:rPr>
          <w:rFonts w:asciiTheme="minorHAnsi" w:hAnsiTheme="minorHAnsi"/>
          <w:b/>
          <w:sz w:val="24"/>
          <w:szCs w:val="24"/>
        </w:rPr>
        <w:t>azonban</w:t>
      </w:r>
      <w:proofErr w:type="spellEnd"/>
      <w:proofErr w:type="gramEnd"/>
      <w:r w:rsidR="0056644B"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hAnsiTheme="minorHAnsi"/>
          <w:b/>
          <w:sz w:val="24"/>
          <w:szCs w:val="24"/>
        </w:rPr>
        <w:t>egy</w:t>
      </w:r>
      <w:proofErr w:type="spellEnd"/>
      <w:r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hAnsiTheme="minorHAnsi"/>
          <w:b/>
          <w:sz w:val="24"/>
          <w:szCs w:val="24"/>
        </w:rPr>
        <w:t>több</w:t>
      </w:r>
      <w:proofErr w:type="spellEnd"/>
      <w:r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hAnsiTheme="minorHAnsi"/>
          <w:b/>
          <w:sz w:val="24"/>
          <w:szCs w:val="24"/>
        </w:rPr>
        <w:t>éves</w:t>
      </w:r>
      <w:proofErr w:type="spellEnd"/>
      <w:r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D30BB" w:rsidRPr="004364E5">
        <w:rPr>
          <w:rFonts w:asciiTheme="minorHAnsi" w:hAnsiTheme="minorHAnsi"/>
          <w:b/>
          <w:sz w:val="24"/>
          <w:szCs w:val="24"/>
        </w:rPr>
        <w:t>béremelési</w:t>
      </w:r>
      <w:proofErr w:type="spellEnd"/>
      <w:r w:rsidR="005D30BB" w:rsidRPr="004364E5">
        <w:rPr>
          <w:rFonts w:asciiTheme="minorHAnsi" w:hAnsiTheme="minorHAnsi"/>
          <w:b/>
          <w:sz w:val="24"/>
          <w:szCs w:val="24"/>
        </w:rPr>
        <w:t xml:space="preserve"> </w:t>
      </w:r>
      <w:r w:rsidRPr="004364E5">
        <w:rPr>
          <w:rFonts w:asciiTheme="minorHAnsi" w:hAnsiTheme="minorHAnsi"/>
          <w:b/>
          <w:sz w:val="24"/>
          <w:szCs w:val="24"/>
        </w:rPr>
        <w:t xml:space="preserve">program </w:t>
      </w:r>
      <w:proofErr w:type="spellStart"/>
      <w:r w:rsidRPr="004364E5">
        <w:rPr>
          <w:rFonts w:asciiTheme="minorHAnsi" w:hAnsiTheme="minorHAnsi"/>
          <w:b/>
          <w:sz w:val="24"/>
          <w:szCs w:val="24"/>
        </w:rPr>
        <w:t>végrehajtása</w:t>
      </w:r>
      <w:proofErr w:type="spellEnd"/>
      <w:r w:rsidRPr="004364E5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Pr="004364E5">
        <w:rPr>
          <w:rFonts w:asciiTheme="minorHAnsi" w:hAnsiTheme="minorHAnsi"/>
          <w:b/>
          <w:sz w:val="24"/>
          <w:szCs w:val="24"/>
        </w:rPr>
        <w:t>amely</w:t>
      </w:r>
      <w:r w:rsidR="005D30BB" w:rsidRPr="004364E5">
        <w:rPr>
          <w:rFonts w:asciiTheme="minorHAnsi" w:hAnsiTheme="minorHAnsi"/>
          <w:b/>
          <w:sz w:val="24"/>
          <w:szCs w:val="24"/>
        </w:rPr>
        <w:t>nek</w:t>
      </w:r>
      <w:proofErr w:type="spellEnd"/>
      <w:r w:rsidR="005D30BB"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D07AD9" w:rsidRPr="004364E5">
        <w:rPr>
          <w:rFonts w:asciiTheme="minorHAnsi" w:hAnsiTheme="minorHAnsi"/>
          <w:b/>
          <w:sz w:val="24"/>
          <w:szCs w:val="24"/>
        </w:rPr>
        <w:t>elősegítésére</w:t>
      </w:r>
      <w:proofErr w:type="spellEnd"/>
      <w:r w:rsidR="00D07AD9"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D07AD9" w:rsidRPr="004364E5">
        <w:rPr>
          <w:rFonts w:asciiTheme="minorHAnsi" w:hAnsiTheme="minorHAnsi"/>
          <w:b/>
          <w:sz w:val="24"/>
          <w:szCs w:val="24"/>
        </w:rPr>
        <w:t>és</w:t>
      </w:r>
      <w:proofErr w:type="spellEnd"/>
      <w:r w:rsidR="00D07AD9" w:rsidRPr="004364E5">
        <w:rPr>
          <w:rFonts w:asciiTheme="minorHAnsi" w:hAnsiTheme="minorHAnsi"/>
          <w:b/>
          <w:sz w:val="24"/>
          <w:szCs w:val="24"/>
        </w:rPr>
        <w:t xml:space="preserve">   </w:t>
      </w:r>
      <w:proofErr w:type="spellStart"/>
      <w:r w:rsidR="005D30BB" w:rsidRPr="004364E5">
        <w:rPr>
          <w:rFonts w:asciiTheme="minorHAnsi" w:hAnsiTheme="minorHAnsi"/>
          <w:b/>
          <w:sz w:val="24"/>
          <w:szCs w:val="24"/>
        </w:rPr>
        <w:t>koordinálására</w:t>
      </w:r>
      <w:proofErr w:type="spellEnd"/>
      <w:r w:rsidR="00D07AD9" w:rsidRPr="004364E5">
        <w:rPr>
          <w:rFonts w:asciiTheme="minorHAnsi" w:hAnsiTheme="minorHAnsi"/>
          <w:b/>
          <w:sz w:val="24"/>
          <w:szCs w:val="24"/>
        </w:rPr>
        <w:t xml:space="preserve"> </w:t>
      </w:r>
      <w:r w:rsidR="005D30BB"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hAnsiTheme="minorHAnsi"/>
          <w:b/>
          <w:sz w:val="24"/>
          <w:szCs w:val="24"/>
        </w:rPr>
        <w:t>jöjjön</w:t>
      </w:r>
      <w:proofErr w:type="spellEnd"/>
      <w:r w:rsidRPr="004364E5">
        <w:rPr>
          <w:rFonts w:asciiTheme="minorHAnsi" w:hAnsiTheme="minorHAnsi"/>
          <w:b/>
          <w:sz w:val="24"/>
          <w:szCs w:val="24"/>
        </w:rPr>
        <w:t xml:space="preserve">  </w:t>
      </w:r>
      <w:proofErr w:type="spellStart"/>
      <w:r w:rsidRPr="004364E5">
        <w:rPr>
          <w:rFonts w:asciiTheme="minorHAnsi" w:hAnsiTheme="minorHAnsi"/>
          <w:b/>
          <w:sz w:val="24"/>
          <w:szCs w:val="24"/>
        </w:rPr>
        <w:t>létre</w:t>
      </w:r>
      <w:proofErr w:type="spellEnd"/>
      <w:r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hAnsiTheme="minorHAnsi"/>
          <w:b/>
          <w:sz w:val="24"/>
          <w:szCs w:val="24"/>
        </w:rPr>
        <w:t>munkacsoport</w:t>
      </w:r>
      <w:proofErr w:type="spellEnd"/>
      <w:r w:rsidRPr="004364E5">
        <w:rPr>
          <w:rFonts w:asciiTheme="minorHAnsi" w:hAnsiTheme="minorHAnsi"/>
          <w:b/>
          <w:sz w:val="24"/>
          <w:szCs w:val="24"/>
        </w:rPr>
        <w:t xml:space="preserve">  a </w:t>
      </w:r>
      <w:proofErr w:type="spellStart"/>
      <w:r w:rsidRPr="004364E5">
        <w:rPr>
          <w:rFonts w:asciiTheme="minorHAnsi" w:hAnsiTheme="minorHAnsi"/>
          <w:b/>
          <w:sz w:val="24"/>
          <w:szCs w:val="24"/>
        </w:rPr>
        <w:t>a</w:t>
      </w:r>
      <w:proofErr w:type="spellEnd"/>
      <w:r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hAnsiTheme="minorHAnsi"/>
          <w:b/>
          <w:sz w:val="24"/>
          <w:szCs w:val="24"/>
        </w:rPr>
        <w:t>VKF</w:t>
      </w:r>
      <w:proofErr w:type="spellEnd"/>
      <w:r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hAnsiTheme="minorHAnsi"/>
          <w:b/>
          <w:sz w:val="24"/>
          <w:szCs w:val="24"/>
        </w:rPr>
        <w:t>keretében</w:t>
      </w:r>
      <w:proofErr w:type="spellEnd"/>
      <w:r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hAnsiTheme="minorHAnsi"/>
          <w:b/>
          <w:sz w:val="24"/>
          <w:szCs w:val="24"/>
        </w:rPr>
        <w:t>az</w:t>
      </w:r>
      <w:proofErr w:type="spellEnd"/>
      <w:r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hAnsiTheme="minorHAnsi"/>
          <w:b/>
          <w:sz w:val="24"/>
          <w:szCs w:val="24"/>
        </w:rPr>
        <w:t>alábbi</w:t>
      </w:r>
      <w:proofErr w:type="spellEnd"/>
      <w:r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hAnsiTheme="minorHAnsi"/>
          <w:b/>
          <w:sz w:val="24"/>
          <w:szCs w:val="24"/>
        </w:rPr>
        <w:t>feladatokkal</w:t>
      </w:r>
      <w:proofErr w:type="spellEnd"/>
      <w:r w:rsidRPr="004364E5">
        <w:rPr>
          <w:rFonts w:asciiTheme="minorHAnsi" w:hAnsiTheme="minorHAnsi"/>
          <w:b/>
          <w:sz w:val="24"/>
          <w:szCs w:val="24"/>
        </w:rPr>
        <w:t>:</w:t>
      </w:r>
    </w:p>
    <w:p w:rsidR="007252DB" w:rsidRPr="004364E5" w:rsidRDefault="007252DB" w:rsidP="002E65CE">
      <w:pPr>
        <w:ind w:left="708"/>
        <w:rPr>
          <w:rFonts w:asciiTheme="minorHAnsi" w:hAnsiTheme="minorHAnsi"/>
          <w:b/>
          <w:sz w:val="24"/>
          <w:szCs w:val="24"/>
        </w:rPr>
      </w:pPr>
    </w:p>
    <w:p w:rsidR="005D30BB" w:rsidRPr="004364E5" w:rsidRDefault="005D30BB" w:rsidP="002E65CE">
      <w:pPr>
        <w:pStyle w:val="Listaszerbekezds"/>
        <w:numPr>
          <w:ilvl w:val="0"/>
          <w:numId w:val="17"/>
        </w:numPr>
        <w:spacing w:after="160" w:line="259" w:lineRule="auto"/>
        <w:ind w:left="1068"/>
        <w:rPr>
          <w:rFonts w:asciiTheme="minorHAnsi" w:hAnsiTheme="minorHAnsi"/>
          <w:b/>
          <w:sz w:val="24"/>
          <w:szCs w:val="24"/>
        </w:rPr>
      </w:pPr>
      <w:r w:rsidRPr="004364E5">
        <w:rPr>
          <w:rFonts w:asciiTheme="minorHAnsi" w:hAnsiTheme="minorHAnsi"/>
          <w:b/>
          <w:sz w:val="24"/>
          <w:szCs w:val="24"/>
        </w:rPr>
        <w:t xml:space="preserve">a 2016-os trend </w:t>
      </w:r>
      <w:proofErr w:type="spellStart"/>
      <w:r w:rsidRPr="004364E5">
        <w:rPr>
          <w:rFonts w:asciiTheme="minorHAnsi" w:hAnsiTheme="minorHAnsi"/>
          <w:b/>
          <w:sz w:val="24"/>
          <w:szCs w:val="24"/>
        </w:rPr>
        <w:t>feletti</w:t>
      </w:r>
      <w:proofErr w:type="spellEnd"/>
      <w:r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hAnsiTheme="minorHAnsi"/>
          <w:b/>
          <w:sz w:val="24"/>
          <w:szCs w:val="24"/>
        </w:rPr>
        <w:t>béremelés</w:t>
      </w:r>
      <w:proofErr w:type="spellEnd"/>
      <w:r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hAnsiTheme="minorHAnsi"/>
          <w:b/>
          <w:sz w:val="24"/>
          <w:szCs w:val="24"/>
        </w:rPr>
        <w:t>hatásainak</w:t>
      </w:r>
      <w:proofErr w:type="spellEnd"/>
      <w:r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hAnsiTheme="minorHAnsi"/>
          <w:b/>
          <w:sz w:val="24"/>
          <w:szCs w:val="24"/>
        </w:rPr>
        <w:t>vizsgálata</w:t>
      </w:r>
      <w:proofErr w:type="spellEnd"/>
      <w:r w:rsidRPr="004364E5">
        <w:rPr>
          <w:rFonts w:asciiTheme="minorHAnsi" w:hAnsiTheme="minorHAnsi"/>
          <w:b/>
          <w:sz w:val="24"/>
          <w:szCs w:val="24"/>
        </w:rPr>
        <w:t xml:space="preserve"> </w:t>
      </w:r>
      <w:r w:rsidRPr="004364E5">
        <w:rPr>
          <w:rFonts w:asciiTheme="minorHAnsi" w:hAnsiTheme="minorHAnsi"/>
          <w:sz w:val="24"/>
          <w:szCs w:val="24"/>
        </w:rPr>
        <w:t>(</w:t>
      </w:r>
      <w:r w:rsidR="00D07AD9" w:rsidRPr="004364E5">
        <w:rPr>
          <w:rFonts w:asciiTheme="minorHAnsi" w:hAnsiTheme="minorHAnsi"/>
          <w:sz w:val="24"/>
          <w:szCs w:val="24"/>
        </w:rPr>
        <w:t xml:space="preserve">a </w:t>
      </w:r>
      <w:proofErr w:type="spellStart"/>
      <w:r w:rsidRPr="004364E5">
        <w:rPr>
          <w:rFonts w:asciiTheme="minorHAnsi" w:hAnsiTheme="minorHAnsi"/>
          <w:sz w:val="24"/>
          <w:szCs w:val="24"/>
        </w:rPr>
        <w:t>növekedés</w:t>
      </w:r>
      <w:r w:rsidR="00D07AD9" w:rsidRPr="004364E5">
        <w:rPr>
          <w:rFonts w:asciiTheme="minorHAnsi" w:hAnsiTheme="minorHAnsi"/>
          <w:sz w:val="24"/>
          <w:szCs w:val="24"/>
        </w:rPr>
        <w:t>re</w:t>
      </w:r>
      <w:proofErr w:type="spellEnd"/>
      <w:r w:rsidRPr="004364E5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364E5">
        <w:rPr>
          <w:rFonts w:asciiTheme="minorHAnsi" w:hAnsiTheme="minorHAnsi"/>
          <w:sz w:val="24"/>
          <w:szCs w:val="24"/>
        </w:rPr>
        <w:t>fogyasztás</w:t>
      </w:r>
      <w:r w:rsidR="00D07AD9" w:rsidRPr="004364E5">
        <w:rPr>
          <w:rFonts w:asciiTheme="minorHAnsi" w:hAnsiTheme="minorHAnsi"/>
          <w:sz w:val="24"/>
          <w:szCs w:val="24"/>
        </w:rPr>
        <w:t>ra</w:t>
      </w:r>
      <w:proofErr w:type="spellEnd"/>
      <w:r w:rsidRPr="004364E5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364E5">
        <w:rPr>
          <w:rFonts w:asciiTheme="minorHAnsi" w:hAnsiTheme="minorHAnsi"/>
          <w:sz w:val="24"/>
          <w:szCs w:val="24"/>
        </w:rPr>
        <w:t>infláció</w:t>
      </w:r>
      <w:r w:rsidR="00D07AD9" w:rsidRPr="004364E5">
        <w:rPr>
          <w:rFonts w:asciiTheme="minorHAnsi" w:hAnsiTheme="minorHAnsi"/>
          <w:sz w:val="24"/>
          <w:szCs w:val="24"/>
        </w:rPr>
        <w:t>ra</w:t>
      </w:r>
      <w:proofErr w:type="spellEnd"/>
      <w:r w:rsidRPr="004364E5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364E5">
        <w:rPr>
          <w:rFonts w:asciiTheme="minorHAnsi" w:hAnsiTheme="minorHAnsi"/>
          <w:sz w:val="24"/>
          <w:szCs w:val="24"/>
        </w:rPr>
        <w:t>gazdasági</w:t>
      </w:r>
      <w:proofErr w:type="spellEnd"/>
      <w:r w:rsidRPr="004364E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364E5">
        <w:rPr>
          <w:rFonts w:asciiTheme="minorHAnsi" w:hAnsiTheme="minorHAnsi"/>
          <w:sz w:val="24"/>
          <w:szCs w:val="24"/>
        </w:rPr>
        <w:t>versenyképesség</w:t>
      </w:r>
      <w:r w:rsidR="00D07AD9" w:rsidRPr="004364E5">
        <w:rPr>
          <w:rFonts w:asciiTheme="minorHAnsi" w:hAnsiTheme="minorHAnsi"/>
          <w:sz w:val="24"/>
          <w:szCs w:val="24"/>
        </w:rPr>
        <w:t>re</w:t>
      </w:r>
      <w:proofErr w:type="spellEnd"/>
      <w:r w:rsidR="00D07AD9" w:rsidRPr="004364E5">
        <w:rPr>
          <w:rFonts w:asciiTheme="minorHAnsi" w:hAnsiTheme="minorHAnsi"/>
          <w:sz w:val="24"/>
          <w:szCs w:val="24"/>
        </w:rPr>
        <w:t>/</w:t>
      </w:r>
      <w:proofErr w:type="spellStart"/>
      <w:r w:rsidR="00D07AD9" w:rsidRPr="004364E5">
        <w:rPr>
          <w:rFonts w:asciiTheme="minorHAnsi" w:hAnsiTheme="minorHAnsi"/>
          <w:sz w:val="24"/>
          <w:szCs w:val="24"/>
        </w:rPr>
        <w:t>termelékenységre</w:t>
      </w:r>
      <w:proofErr w:type="spellEnd"/>
      <w:r w:rsidR="00D07AD9" w:rsidRPr="004364E5">
        <w:rPr>
          <w:rFonts w:asciiTheme="minorHAnsi" w:hAnsiTheme="minorHAnsi"/>
          <w:sz w:val="24"/>
          <w:szCs w:val="24"/>
        </w:rPr>
        <w:t>,</w:t>
      </w:r>
      <w:r w:rsidRPr="004364E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364E5">
        <w:rPr>
          <w:rFonts w:asciiTheme="minorHAnsi" w:hAnsiTheme="minorHAnsi"/>
          <w:sz w:val="24"/>
          <w:szCs w:val="24"/>
        </w:rPr>
        <w:t>foglalkoztatás</w:t>
      </w:r>
      <w:r w:rsidR="00D07AD9" w:rsidRPr="004364E5">
        <w:rPr>
          <w:rFonts w:asciiTheme="minorHAnsi" w:hAnsiTheme="minorHAnsi"/>
          <w:sz w:val="24"/>
          <w:szCs w:val="24"/>
        </w:rPr>
        <w:t>ra</w:t>
      </w:r>
      <w:proofErr w:type="spellEnd"/>
      <w:r w:rsidRPr="004364E5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364E5">
        <w:rPr>
          <w:rFonts w:asciiTheme="minorHAnsi" w:hAnsiTheme="minorHAnsi"/>
          <w:sz w:val="24"/>
          <w:szCs w:val="24"/>
        </w:rPr>
        <w:t>migráció</w:t>
      </w:r>
      <w:r w:rsidR="00D07AD9" w:rsidRPr="004364E5">
        <w:rPr>
          <w:rFonts w:asciiTheme="minorHAnsi" w:hAnsiTheme="minorHAnsi"/>
          <w:sz w:val="24"/>
          <w:szCs w:val="24"/>
        </w:rPr>
        <w:t>ra</w:t>
      </w:r>
      <w:proofErr w:type="spellEnd"/>
      <w:r w:rsidRPr="004364E5">
        <w:rPr>
          <w:rFonts w:asciiTheme="minorHAnsi" w:hAnsiTheme="minorHAnsi"/>
          <w:sz w:val="24"/>
          <w:szCs w:val="24"/>
        </w:rPr>
        <w:t xml:space="preserve">), </w:t>
      </w:r>
      <w:r w:rsidR="00D07AD9" w:rsidRPr="004364E5">
        <w:rPr>
          <w:rFonts w:asciiTheme="minorHAnsi" w:hAnsiTheme="minorHAnsi"/>
          <w:sz w:val="24"/>
          <w:szCs w:val="24"/>
        </w:rPr>
        <w:t xml:space="preserve"> </w:t>
      </w:r>
      <w:r w:rsidRPr="004364E5">
        <w:rPr>
          <w:rFonts w:asciiTheme="minorHAnsi" w:hAnsiTheme="minorHAnsi"/>
          <w:b/>
          <w:sz w:val="24"/>
          <w:szCs w:val="24"/>
        </w:rPr>
        <w:t xml:space="preserve">a </w:t>
      </w:r>
      <w:proofErr w:type="spellStart"/>
      <w:r w:rsidRPr="004364E5">
        <w:rPr>
          <w:rFonts w:asciiTheme="minorHAnsi" w:hAnsiTheme="minorHAnsi"/>
          <w:b/>
          <w:sz w:val="24"/>
          <w:szCs w:val="24"/>
        </w:rPr>
        <w:t>következtetések</w:t>
      </w:r>
      <w:proofErr w:type="spellEnd"/>
      <w:r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hAnsiTheme="minorHAnsi"/>
          <w:b/>
          <w:sz w:val="24"/>
          <w:szCs w:val="24"/>
        </w:rPr>
        <w:t>levonása</w:t>
      </w:r>
      <w:proofErr w:type="spellEnd"/>
      <w:r w:rsidRPr="004364E5">
        <w:rPr>
          <w:rFonts w:asciiTheme="minorHAnsi" w:hAnsiTheme="minorHAnsi"/>
          <w:sz w:val="24"/>
          <w:szCs w:val="24"/>
        </w:rPr>
        <w:t>,</w:t>
      </w:r>
      <w:r w:rsidR="007252DB" w:rsidRPr="004364E5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="007252DB" w:rsidRPr="004364E5">
        <w:rPr>
          <w:rFonts w:asciiTheme="minorHAnsi" w:hAnsiTheme="minorHAnsi"/>
          <w:sz w:val="24"/>
          <w:szCs w:val="24"/>
        </w:rPr>
        <w:t>bérfelzárkóztatási</w:t>
      </w:r>
      <w:proofErr w:type="spellEnd"/>
      <w:r w:rsidR="007252DB" w:rsidRPr="004364E5">
        <w:rPr>
          <w:rFonts w:asciiTheme="minorHAnsi" w:hAnsiTheme="minorHAnsi"/>
          <w:sz w:val="24"/>
          <w:szCs w:val="24"/>
        </w:rPr>
        <w:t xml:space="preserve"> program </w:t>
      </w:r>
      <w:proofErr w:type="spellStart"/>
      <w:r w:rsidR="007252DB" w:rsidRPr="004364E5">
        <w:rPr>
          <w:rFonts w:asciiTheme="minorHAnsi" w:hAnsiTheme="minorHAnsi"/>
          <w:b/>
          <w:sz w:val="24"/>
          <w:szCs w:val="24"/>
        </w:rPr>
        <w:t>folytatásához</w:t>
      </w:r>
      <w:proofErr w:type="spellEnd"/>
      <w:r w:rsidR="007252DB"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7252DB" w:rsidRPr="004364E5">
        <w:rPr>
          <w:rFonts w:asciiTheme="minorHAnsi" w:hAnsiTheme="minorHAnsi"/>
          <w:b/>
          <w:sz w:val="24"/>
          <w:szCs w:val="24"/>
        </w:rPr>
        <w:t>szükséges</w:t>
      </w:r>
      <w:proofErr w:type="spellEnd"/>
      <w:r w:rsidR="007252DB"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7252DB" w:rsidRPr="004364E5">
        <w:rPr>
          <w:rFonts w:asciiTheme="minorHAnsi" w:hAnsiTheme="minorHAnsi"/>
          <w:b/>
          <w:sz w:val="24"/>
          <w:szCs w:val="24"/>
        </w:rPr>
        <w:t>feltételek</w:t>
      </w:r>
      <w:proofErr w:type="spellEnd"/>
      <w:r w:rsidR="007252DB"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7252DB" w:rsidRPr="004364E5">
        <w:rPr>
          <w:rFonts w:asciiTheme="minorHAnsi" w:hAnsiTheme="minorHAnsi"/>
          <w:b/>
          <w:sz w:val="24"/>
          <w:szCs w:val="24"/>
        </w:rPr>
        <w:t>meghatározása</w:t>
      </w:r>
      <w:proofErr w:type="spellEnd"/>
    </w:p>
    <w:p w:rsidR="002E65CE" w:rsidRPr="004364E5" w:rsidRDefault="002E65CE" w:rsidP="002E65CE">
      <w:pPr>
        <w:pStyle w:val="Listaszerbekezds"/>
        <w:numPr>
          <w:ilvl w:val="0"/>
          <w:numId w:val="17"/>
        </w:numPr>
        <w:spacing w:after="160" w:line="259" w:lineRule="auto"/>
        <w:ind w:left="1068"/>
        <w:rPr>
          <w:rFonts w:asciiTheme="minorHAnsi" w:hAnsiTheme="minorHAnsi"/>
          <w:b/>
          <w:sz w:val="24"/>
          <w:szCs w:val="24"/>
        </w:rPr>
      </w:pPr>
      <w:r w:rsidRPr="004364E5">
        <w:rPr>
          <w:rFonts w:asciiTheme="minorHAnsi" w:hAnsiTheme="minorHAnsi"/>
          <w:b/>
          <w:sz w:val="24"/>
          <w:szCs w:val="24"/>
        </w:rPr>
        <w:t xml:space="preserve">a </w:t>
      </w:r>
      <w:proofErr w:type="spellStart"/>
      <w:r w:rsidR="005D30BB" w:rsidRPr="004364E5">
        <w:rPr>
          <w:rFonts w:asciiTheme="minorHAnsi" w:hAnsiTheme="minorHAnsi"/>
          <w:b/>
          <w:sz w:val="24"/>
          <w:szCs w:val="24"/>
        </w:rPr>
        <w:t>termelékenység</w:t>
      </w:r>
      <w:proofErr w:type="spellEnd"/>
      <w:r w:rsidR="005D30BB"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D30BB" w:rsidRPr="004364E5">
        <w:rPr>
          <w:rFonts w:asciiTheme="minorHAnsi" w:hAnsiTheme="minorHAnsi"/>
          <w:b/>
          <w:sz w:val="24"/>
          <w:szCs w:val="24"/>
        </w:rPr>
        <w:t>növelését</w:t>
      </w:r>
      <w:proofErr w:type="spellEnd"/>
      <w:r w:rsidR="005D30BB"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D30BB" w:rsidRPr="004364E5">
        <w:rPr>
          <w:rFonts w:asciiTheme="minorHAnsi" w:hAnsiTheme="minorHAnsi"/>
          <w:b/>
          <w:sz w:val="24"/>
          <w:szCs w:val="24"/>
        </w:rPr>
        <w:t>szolgáló</w:t>
      </w:r>
      <w:proofErr w:type="spellEnd"/>
      <w:r w:rsidR="005D30BB"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D30BB" w:rsidRPr="004364E5">
        <w:rPr>
          <w:rFonts w:asciiTheme="minorHAnsi" w:hAnsiTheme="minorHAnsi"/>
          <w:b/>
          <w:sz w:val="24"/>
          <w:szCs w:val="24"/>
        </w:rPr>
        <w:t>közös</w:t>
      </w:r>
      <w:proofErr w:type="spellEnd"/>
      <w:r w:rsidR="005D30BB"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D30BB" w:rsidRPr="004364E5">
        <w:rPr>
          <w:rFonts w:asciiTheme="minorHAnsi" w:hAnsiTheme="minorHAnsi"/>
          <w:b/>
          <w:sz w:val="24"/>
          <w:szCs w:val="24"/>
        </w:rPr>
        <w:t>teendők</w:t>
      </w:r>
      <w:proofErr w:type="spellEnd"/>
      <w:r w:rsidR="005D30BB"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7252DB" w:rsidRPr="004364E5">
        <w:rPr>
          <w:rFonts w:asciiTheme="minorHAnsi" w:hAnsiTheme="minorHAnsi"/>
          <w:b/>
          <w:sz w:val="24"/>
          <w:szCs w:val="24"/>
        </w:rPr>
        <w:t>meghatározása</w:t>
      </w:r>
      <w:proofErr w:type="spellEnd"/>
      <w:r w:rsidR="007252DB" w:rsidRPr="004364E5">
        <w:rPr>
          <w:rFonts w:asciiTheme="minorHAnsi" w:hAnsiTheme="minorHAnsi"/>
          <w:b/>
          <w:sz w:val="24"/>
          <w:szCs w:val="24"/>
        </w:rPr>
        <w:t xml:space="preserve">, a </w:t>
      </w:r>
      <w:proofErr w:type="spellStart"/>
      <w:r w:rsidR="007252DB" w:rsidRPr="004364E5">
        <w:rPr>
          <w:rFonts w:asciiTheme="minorHAnsi" w:hAnsiTheme="minorHAnsi"/>
          <w:b/>
          <w:sz w:val="24"/>
          <w:szCs w:val="24"/>
        </w:rPr>
        <w:t>feladatok</w:t>
      </w:r>
      <w:proofErr w:type="spellEnd"/>
      <w:r w:rsidR="007252DB"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7252DB" w:rsidRPr="004364E5">
        <w:rPr>
          <w:rFonts w:asciiTheme="minorHAnsi" w:hAnsiTheme="minorHAnsi"/>
          <w:b/>
          <w:sz w:val="24"/>
          <w:szCs w:val="24"/>
        </w:rPr>
        <w:t>megosztása</w:t>
      </w:r>
      <w:proofErr w:type="spellEnd"/>
      <w:r w:rsidR="007252DB" w:rsidRPr="004364E5">
        <w:rPr>
          <w:rFonts w:asciiTheme="minorHAnsi" w:hAnsiTheme="minorHAnsi"/>
          <w:b/>
          <w:sz w:val="24"/>
          <w:szCs w:val="24"/>
        </w:rPr>
        <w:t xml:space="preserve"> </w:t>
      </w:r>
    </w:p>
    <w:p w:rsidR="005D30BB" w:rsidRPr="004364E5" w:rsidRDefault="002E65CE" w:rsidP="00003B71">
      <w:pPr>
        <w:pStyle w:val="Listaszerbekezds"/>
        <w:numPr>
          <w:ilvl w:val="1"/>
          <w:numId w:val="17"/>
        </w:numPr>
        <w:spacing w:after="160" w:line="259" w:lineRule="auto"/>
        <w:ind w:left="1788"/>
        <w:rPr>
          <w:rFonts w:asciiTheme="minorHAnsi" w:hAnsiTheme="minorHAnsi"/>
          <w:sz w:val="24"/>
          <w:szCs w:val="24"/>
        </w:rPr>
      </w:pPr>
      <w:proofErr w:type="spellStart"/>
      <w:r w:rsidRPr="004364E5">
        <w:rPr>
          <w:rFonts w:asciiTheme="minorHAnsi" w:hAnsiTheme="minorHAnsi"/>
          <w:sz w:val="24"/>
          <w:szCs w:val="24"/>
        </w:rPr>
        <w:t>tőke</w:t>
      </w:r>
      <w:proofErr w:type="spellEnd"/>
      <w:r w:rsidRPr="004364E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364E5">
        <w:rPr>
          <w:rFonts w:asciiTheme="minorHAnsi" w:hAnsiTheme="minorHAnsi"/>
          <w:sz w:val="24"/>
          <w:szCs w:val="24"/>
        </w:rPr>
        <w:t>allokáció</w:t>
      </w:r>
      <w:proofErr w:type="spellEnd"/>
      <w:r w:rsidR="005D30BB" w:rsidRPr="004364E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D30BB" w:rsidRPr="004364E5">
        <w:rPr>
          <w:rFonts w:asciiTheme="minorHAnsi" w:hAnsiTheme="minorHAnsi"/>
          <w:sz w:val="24"/>
          <w:szCs w:val="24"/>
        </w:rPr>
        <w:t>területén</w:t>
      </w:r>
      <w:proofErr w:type="spellEnd"/>
      <w:r w:rsidR="005D30BB" w:rsidRPr="004364E5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="005D30BB" w:rsidRPr="004364E5">
        <w:rPr>
          <w:rFonts w:asciiTheme="minorHAnsi" w:hAnsiTheme="minorHAnsi"/>
          <w:sz w:val="24"/>
          <w:szCs w:val="24"/>
        </w:rPr>
        <w:t>tőkeimport</w:t>
      </w:r>
      <w:proofErr w:type="spellEnd"/>
      <w:r w:rsidR="005D30BB" w:rsidRPr="004364E5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5D30BB" w:rsidRPr="004364E5">
        <w:rPr>
          <w:rFonts w:asciiTheme="minorHAnsi" w:hAnsiTheme="minorHAnsi"/>
          <w:sz w:val="24"/>
          <w:szCs w:val="24"/>
        </w:rPr>
        <w:t>hitelezési</w:t>
      </w:r>
      <w:proofErr w:type="spellEnd"/>
      <w:r w:rsidR="005D30BB" w:rsidRPr="004364E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D30BB" w:rsidRPr="004364E5">
        <w:rPr>
          <w:rFonts w:asciiTheme="minorHAnsi" w:hAnsiTheme="minorHAnsi"/>
          <w:sz w:val="24"/>
          <w:szCs w:val="24"/>
        </w:rPr>
        <w:t>preferenciák</w:t>
      </w:r>
      <w:proofErr w:type="spellEnd"/>
      <w:r w:rsidR="005D30BB" w:rsidRPr="004364E5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5D30BB" w:rsidRPr="004364E5">
        <w:rPr>
          <w:rFonts w:asciiTheme="minorHAnsi" w:hAnsiTheme="minorHAnsi"/>
          <w:sz w:val="24"/>
          <w:szCs w:val="24"/>
        </w:rPr>
        <w:t>uniós</w:t>
      </w:r>
      <w:proofErr w:type="spellEnd"/>
      <w:r w:rsidR="005D30BB" w:rsidRPr="004364E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D30BB" w:rsidRPr="004364E5">
        <w:rPr>
          <w:rFonts w:asciiTheme="minorHAnsi" w:hAnsiTheme="minorHAnsi"/>
          <w:sz w:val="24"/>
          <w:szCs w:val="24"/>
        </w:rPr>
        <w:t>támogatások</w:t>
      </w:r>
      <w:proofErr w:type="spellEnd"/>
      <w:r w:rsidR="005D30BB" w:rsidRPr="004364E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D30BB" w:rsidRPr="004364E5">
        <w:rPr>
          <w:rFonts w:asciiTheme="minorHAnsi" w:hAnsiTheme="minorHAnsi"/>
          <w:sz w:val="24"/>
          <w:szCs w:val="24"/>
        </w:rPr>
        <w:t>elosztása</w:t>
      </w:r>
      <w:proofErr w:type="spellEnd"/>
      <w:r w:rsidR="005D30BB" w:rsidRPr="004364E5">
        <w:rPr>
          <w:rFonts w:asciiTheme="minorHAnsi" w:hAnsiTheme="minorHAnsi"/>
          <w:sz w:val="24"/>
          <w:szCs w:val="24"/>
        </w:rPr>
        <w:t xml:space="preserve">) </w:t>
      </w:r>
    </w:p>
    <w:p w:rsidR="005D30BB" w:rsidRPr="004364E5" w:rsidRDefault="005D30BB" w:rsidP="00003B71">
      <w:pPr>
        <w:pStyle w:val="Listaszerbekezds"/>
        <w:numPr>
          <w:ilvl w:val="1"/>
          <w:numId w:val="17"/>
        </w:numPr>
        <w:spacing w:after="160" w:line="259" w:lineRule="auto"/>
        <w:ind w:left="1788"/>
        <w:rPr>
          <w:rFonts w:asciiTheme="minorHAnsi" w:hAnsiTheme="minorHAnsi"/>
          <w:sz w:val="24"/>
          <w:szCs w:val="24"/>
        </w:rPr>
      </w:pPr>
      <w:r w:rsidRPr="004364E5">
        <w:rPr>
          <w:rFonts w:asciiTheme="minorHAnsi" w:hAnsiTheme="minorHAnsi"/>
          <w:sz w:val="24"/>
          <w:szCs w:val="24"/>
        </w:rPr>
        <w:t xml:space="preserve">a </w:t>
      </w:r>
      <w:proofErr w:type="spellStart"/>
      <w:r w:rsidRPr="004364E5">
        <w:rPr>
          <w:rFonts w:asciiTheme="minorHAnsi" w:hAnsiTheme="minorHAnsi"/>
          <w:sz w:val="24"/>
          <w:szCs w:val="24"/>
        </w:rPr>
        <w:t>menedzsment</w:t>
      </w:r>
      <w:proofErr w:type="spellEnd"/>
      <w:r w:rsidRPr="004364E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364E5">
        <w:rPr>
          <w:rFonts w:asciiTheme="minorHAnsi" w:hAnsiTheme="minorHAnsi"/>
          <w:sz w:val="24"/>
          <w:szCs w:val="24"/>
        </w:rPr>
        <w:t>képességek</w:t>
      </w:r>
      <w:proofErr w:type="spellEnd"/>
      <w:r w:rsidRPr="004364E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364E5">
        <w:rPr>
          <w:rFonts w:asciiTheme="minorHAnsi" w:hAnsiTheme="minorHAnsi"/>
          <w:sz w:val="24"/>
          <w:szCs w:val="24"/>
        </w:rPr>
        <w:t>fejlesztésében</w:t>
      </w:r>
      <w:proofErr w:type="spellEnd"/>
    </w:p>
    <w:p w:rsidR="003544A7" w:rsidRPr="004364E5" w:rsidRDefault="003544A7" w:rsidP="00003B71">
      <w:pPr>
        <w:pStyle w:val="Listaszerbekezds"/>
        <w:numPr>
          <w:ilvl w:val="1"/>
          <w:numId w:val="17"/>
        </w:numPr>
        <w:spacing w:after="160" w:line="259" w:lineRule="auto"/>
        <w:ind w:left="1788"/>
        <w:rPr>
          <w:rFonts w:asciiTheme="minorHAnsi" w:hAnsiTheme="minorHAnsi"/>
          <w:sz w:val="24"/>
          <w:szCs w:val="24"/>
        </w:rPr>
      </w:pPr>
      <w:r w:rsidRPr="004364E5">
        <w:rPr>
          <w:rFonts w:asciiTheme="minorHAnsi" w:hAnsiTheme="minorHAnsi"/>
          <w:sz w:val="24"/>
          <w:szCs w:val="24"/>
        </w:rPr>
        <w:t xml:space="preserve">a </w:t>
      </w:r>
      <w:proofErr w:type="spellStart"/>
      <w:r w:rsidRPr="004364E5">
        <w:rPr>
          <w:rFonts w:asciiTheme="minorHAnsi" w:hAnsiTheme="minorHAnsi"/>
          <w:sz w:val="24"/>
          <w:szCs w:val="24"/>
        </w:rPr>
        <w:t>munkavállalói</w:t>
      </w:r>
      <w:proofErr w:type="spellEnd"/>
      <w:r w:rsidRPr="004364E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364E5">
        <w:rPr>
          <w:rFonts w:asciiTheme="minorHAnsi" w:hAnsiTheme="minorHAnsi"/>
          <w:sz w:val="24"/>
          <w:szCs w:val="24"/>
        </w:rPr>
        <w:t>motiváció</w:t>
      </w:r>
      <w:proofErr w:type="spellEnd"/>
      <w:r w:rsidRPr="004364E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364E5">
        <w:rPr>
          <w:rFonts w:asciiTheme="minorHAnsi" w:hAnsiTheme="minorHAnsi"/>
          <w:sz w:val="24"/>
          <w:szCs w:val="24"/>
        </w:rPr>
        <w:t>erősítésében</w:t>
      </w:r>
      <w:proofErr w:type="spellEnd"/>
    </w:p>
    <w:p w:rsidR="003544A7" w:rsidRPr="004364E5" w:rsidRDefault="003544A7" w:rsidP="00003B71">
      <w:pPr>
        <w:pStyle w:val="Listaszerbekezds"/>
        <w:numPr>
          <w:ilvl w:val="1"/>
          <w:numId w:val="17"/>
        </w:numPr>
        <w:spacing w:after="160" w:line="259" w:lineRule="auto"/>
        <w:ind w:left="1788"/>
        <w:rPr>
          <w:rFonts w:asciiTheme="minorHAnsi" w:hAnsiTheme="minorHAnsi"/>
          <w:sz w:val="24"/>
          <w:szCs w:val="24"/>
        </w:rPr>
      </w:pPr>
      <w:r w:rsidRPr="004364E5">
        <w:rPr>
          <w:rFonts w:asciiTheme="minorHAnsi" w:hAnsiTheme="minorHAnsi"/>
          <w:sz w:val="24"/>
          <w:szCs w:val="24"/>
        </w:rPr>
        <w:t xml:space="preserve">a </w:t>
      </w:r>
      <w:proofErr w:type="spellStart"/>
      <w:r w:rsidRPr="004364E5">
        <w:rPr>
          <w:rFonts w:asciiTheme="minorHAnsi" w:hAnsiTheme="minorHAnsi"/>
          <w:sz w:val="24"/>
          <w:szCs w:val="24"/>
        </w:rPr>
        <w:t>munkavállalók</w:t>
      </w:r>
      <w:proofErr w:type="spellEnd"/>
      <w:r w:rsidRPr="004364E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364E5">
        <w:rPr>
          <w:rFonts w:asciiTheme="minorHAnsi" w:hAnsiTheme="minorHAnsi"/>
          <w:sz w:val="24"/>
          <w:szCs w:val="24"/>
        </w:rPr>
        <w:t>hatékonyság</w:t>
      </w:r>
      <w:proofErr w:type="spellEnd"/>
      <w:r w:rsidRPr="004364E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364E5">
        <w:rPr>
          <w:rFonts w:asciiTheme="minorHAnsi" w:hAnsiTheme="minorHAnsi"/>
          <w:sz w:val="24"/>
          <w:szCs w:val="24"/>
        </w:rPr>
        <w:t>javító</w:t>
      </w:r>
      <w:proofErr w:type="spellEnd"/>
      <w:r w:rsidRPr="004364E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364E5">
        <w:rPr>
          <w:rFonts w:asciiTheme="minorHAnsi" w:hAnsiTheme="minorHAnsi"/>
          <w:sz w:val="24"/>
          <w:szCs w:val="24"/>
        </w:rPr>
        <w:t>tapasztalatainak</w:t>
      </w:r>
      <w:proofErr w:type="spellEnd"/>
      <w:r w:rsidRPr="004364E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364E5">
        <w:rPr>
          <w:rFonts w:asciiTheme="minorHAnsi" w:hAnsiTheme="minorHAnsi"/>
          <w:sz w:val="24"/>
          <w:szCs w:val="24"/>
        </w:rPr>
        <w:t>hasznosításában</w:t>
      </w:r>
      <w:proofErr w:type="spellEnd"/>
      <w:r w:rsidRPr="004364E5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4364E5">
        <w:rPr>
          <w:rFonts w:asciiTheme="minorHAnsi" w:hAnsiTheme="minorHAnsi"/>
          <w:sz w:val="24"/>
          <w:szCs w:val="24"/>
        </w:rPr>
        <w:t>lásd</w:t>
      </w:r>
      <w:proofErr w:type="spellEnd"/>
      <w:r w:rsidRPr="004364E5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4364E5">
        <w:rPr>
          <w:rFonts w:asciiTheme="minorHAnsi" w:hAnsiTheme="minorHAnsi"/>
          <w:sz w:val="24"/>
          <w:szCs w:val="24"/>
        </w:rPr>
        <w:t>német</w:t>
      </w:r>
      <w:proofErr w:type="spellEnd"/>
      <w:r w:rsidRPr="004364E5">
        <w:rPr>
          <w:rFonts w:asciiTheme="minorHAnsi" w:hAnsiTheme="minorHAnsi"/>
          <w:sz w:val="24"/>
          <w:szCs w:val="24"/>
        </w:rPr>
        <w:t xml:space="preserve"> – </w:t>
      </w:r>
      <w:proofErr w:type="spellStart"/>
      <w:r w:rsidRPr="004364E5">
        <w:rPr>
          <w:rFonts w:asciiTheme="minorHAnsi" w:hAnsiTheme="minorHAnsi"/>
          <w:sz w:val="24"/>
          <w:szCs w:val="24"/>
        </w:rPr>
        <w:t>osztrák</w:t>
      </w:r>
      <w:proofErr w:type="spellEnd"/>
      <w:r w:rsidRPr="004364E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364E5">
        <w:rPr>
          <w:rFonts w:asciiTheme="minorHAnsi" w:hAnsiTheme="minorHAnsi"/>
          <w:sz w:val="24"/>
          <w:szCs w:val="24"/>
        </w:rPr>
        <w:t>részvételi</w:t>
      </w:r>
      <w:proofErr w:type="spellEnd"/>
      <w:r w:rsidRPr="004364E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364E5">
        <w:rPr>
          <w:rFonts w:asciiTheme="minorHAnsi" w:hAnsiTheme="minorHAnsi"/>
          <w:sz w:val="24"/>
          <w:szCs w:val="24"/>
        </w:rPr>
        <w:t>rendszer</w:t>
      </w:r>
      <w:proofErr w:type="spellEnd"/>
      <w:r w:rsidRPr="004364E5">
        <w:rPr>
          <w:rFonts w:asciiTheme="minorHAnsi" w:hAnsiTheme="minorHAnsi"/>
          <w:sz w:val="24"/>
          <w:szCs w:val="24"/>
        </w:rPr>
        <w:t xml:space="preserve"> – a </w:t>
      </w:r>
      <w:proofErr w:type="spellStart"/>
      <w:r w:rsidRPr="004364E5">
        <w:rPr>
          <w:rFonts w:asciiTheme="minorHAnsi" w:hAnsiTheme="minorHAnsi"/>
          <w:sz w:val="24"/>
          <w:szCs w:val="24"/>
        </w:rPr>
        <w:t>mitbestimmung</w:t>
      </w:r>
      <w:proofErr w:type="spellEnd"/>
      <w:r w:rsidRPr="004364E5">
        <w:rPr>
          <w:rFonts w:asciiTheme="minorHAnsi" w:hAnsiTheme="minorHAnsi"/>
          <w:sz w:val="24"/>
          <w:szCs w:val="24"/>
        </w:rPr>
        <w:t xml:space="preserve">- </w:t>
      </w:r>
      <w:proofErr w:type="spellStart"/>
      <w:r w:rsidRPr="004364E5">
        <w:rPr>
          <w:rFonts w:asciiTheme="minorHAnsi" w:hAnsiTheme="minorHAnsi"/>
          <w:sz w:val="24"/>
          <w:szCs w:val="24"/>
        </w:rPr>
        <w:t>példáját</w:t>
      </w:r>
      <w:proofErr w:type="spellEnd"/>
      <w:r w:rsidRPr="004364E5">
        <w:rPr>
          <w:rFonts w:asciiTheme="minorHAnsi" w:hAnsiTheme="minorHAnsi"/>
          <w:sz w:val="24"/>
          <w:szCs w:val="24"/>
        </w:rPr>
        <w:t>)</w:t>
      </w:r>
    </w:p>
    <w:p w:rsidR="005D30BB" w:rsidRPr="004364E5" w:rsidRDefault="005D30BB" w:rsidP="00003B71">
      <w:pPr>
        <w:pStyle w:val="Listaszerbekezds"/>
        <w:numPr>
          <w:ilvl w:val="1"/>
          <w:numId w:val="17"/>
        </w:numPr>
        <w:spacing w:after="160" w:line="259" w:lineRule="auto"/>
        <w:ind w:left="1788"/>
        <w:rPr>
          <w:rFonts w:asciiTheme="minorHAnsi" w:hAnsiTheme="minorHAnsi"/>
          <w:sz w:val="24"/>
          <w:szCs w:val="24"/>
        </w:rPr>
      </w:pPr>
      <w:r w:rsidRPr="004364E5">
        <w:rPr>
          <w:rFonts w:asciiTheme="minorHAnsi" w:hAnsiTheme="minorHAnsi"/>
          <w:sz w:val="24"/>
          <w:szCs w:val="24"/>
        </w:rPr>
        <w:t xml:space="preserve">a </w:t>
      </w:r>
      <w:proofErr w:type="spellStart"/>
      <w:r w:rsidRPr="004364E5">
        <w:rPr>
          <w:rFonts w:asciiTheme="minorHAnsi" w:hAnsiTheme="minorHAnsi"/>
          <w:sz w:val="24"/>
          <w:szCs w:val="24"/>
        </w:rPr>
        <w:t>munkaügyi</w:t>
      </w:r>
      <w:proofErr w:type="spellEnd"/>
      <w:r w:rsidRPr="004364E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364E5">
        <w:rPr>
          <w:rFonts w:asciiTheme="minorHAnsi" w:hAnsiTheme="minorHAnsi"/>
          <w:sz w:val="24"/>
          <w:szCs w:val="24"/>
        </w:rPr>
        <w:t>kapcsolatok</w:t>
      </w:r>
      <w:proofErr w:type="spellEnd"/>
      <w:r w:rsidRPr="004364E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364E5">
        <w:rPr>
          <w:rFonts w:asciiTheme="minorHAnsi" w:hAnsiTheme="minorHAnsi"/>
          <w:sz w:val="24"/>
          <w:szCs w:val="24"/>
        </w:rPr>
        <w:t>terén</w:t>
      </w:r>
      <w:proofErr w:type="spellEnd"/>
    </w:p>
    <w:p w:rsidR="005D30BB" w:rsidRPr="004364E5" w:rsidRDefault="005D30BB" w:rsidP="00522388">
      <w:pPr>
        <w:pStyle w:val="Listaszerbekezds"/>
        <w:numPr>
          <w:ilvl w:val="1"/>
          <w:numId w:val="17"/>
        </w:numPr>
        <w:spacing w:after="160" w:line="259" w:lineRule="auto"/>
        <w:ind w:left="1788"/>
        <w:rPr>
          <w:rFonts w:asciiTheme="minorHAnsi" w:hAnsiTheme="minorHAnsi"/>
          <w:sz w:val="24"/>
          <w:szCs w:val="24"/>
        </w:rPr>
      </w:pPr>
      <w:r w:rsidRPr="004364E5">
        <w:rPr>
          <w:rFonts w:asciiTheme="minorHAnsi" w:hAnsiTheme="minorHAnsi"/>
          <w:sz w:val="24"/>
          <w:szCs w:val="24"/>
        </w:rPr>
        <w:t xml:space="preserve">a </w:t>
      </w:r>
      <w:proofErr w:type="spellStart"/>
      <w:r w:rsidR="002E65CE" w:rsidRPr="004364E5">
        <w:rPr>
          <w:rFonts w:asciiTheme="minorHAnsi" w:hAnsiTheme="minorHAnsi"/>
          <w:sz w:val="24"/>
          <w:szCs w:val="24"/>
        </w:rPr>
        <w:t>képzés</w:t>
      </w:r>
      <w:r w:rsidRPr="004364E5">
        <w:rPr>
          <w:rFonts w:asciiTheme="minorHAnsi" w:hAnsiTheme="minorHAnsi"/>
          <w:sz w:val="24"/>
          <w:szCs w:val="24"/>
        </w:rPr>
        <w:t>-szakképzés</w:t>
      </w:r>
      <w:proofErr w:type="spellEnd"/>
      <w:r w:rsidRPr="004364E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364E5">
        <w:rPr>
          <w:rFonts w:asciiTheme="minorHAnsi" w:hAnsiTheme="minorHAnsi"/>
          <w:sz w:val="24"/>
          <w:szCs w:val="24"/>
        </w:rPr>
        <w:t>terén</w:t>
      </w:r>
      <w:proofErr w:type="spellEnd"/>
      <w:r w:rsidR="003544A7" w:rsidRPr="004364E5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="003544A7" w:rsidRPr="004364E5">
        <w:rPr>
          <w:rFonts w:asciiTheme="minorHAnsi" w:hAnsiTheme="minorHAnsi"/>
          <w:sz w:val="24"/>
          <w:szCs w:val="24"/>
        </w:rPr>
        <w:t>amelynek</w:t>
      </w:r>
      <w:proofErr w:type="spellEnd"/>
      <w:r w:rsidR="003544A7" w:rsidRPr="004364E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544A7" w:rsidRPr="004364E5">
        <w:rPr>
          <w:rFonts w:asciiTheme="minorHAnsi" w:hAnsiTheme="minorHAnsi"/>
          <w:sz w:val="24"/>
          <w:szCs w:val="24"/>
        </w:rPr>
        <w:t>átalakításából</w:t>
      </w:r>
      <w:proofErr w:type="spellEnd"/>
      <w:r w:rsidR="003544A7" w:rsidRPr="004364E5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3544A7" w:rsidRPr="004364E5">
        <w:rPr>
          <w:rFonts w:asciiTheme="minorHAnsi" w:hAnsiTheme="minorHAnsi"/>
          <w:sz w:val="24"/>
          <w:szCs w:val="24"/>
        </w:rPr>
        <w:t>felügyeletéből</w:t>
      </w:r>
      <w:proofErr w:type="spellEnd"/>
      <w:r w:rsidR="003544A7" w:rsidRPr="004364E5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="003544A7" w:rsidRPr="004364E5">
        <w:rPr>
          <w:rFonts w:asciiTheme="minorHAnsi" w:hAnsiTheme="minorHAnsi"/>
          <w:sz w:val="24"/>
          <w:szCs w:val="24"/>
        </w:rPr>
        <w:t>munkavállalói</w:t>
      </w:r>
      <w:proofErr w:type="spellEnd"/>
      <w:r w:rsidR="003544A7" w:rsidRPr="004364E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544A7" w:rsidRPr="004364E5">
        <w:rPr>
          <w:rFonts w:asciiTheme="minorHAnsi" w:hAnsiTheme="minorHAnsi"/>
          <w:sz w:val="24"/>
          <w:szCs w:val="24"/>
        </w:rPr>
        <w:t>képciselőket</w:t>
      </w:r>
      <w:proofErr w:type="spellEnd"/>
      <w:r w:rsidR="003544A7" w:rsidRPr="004364E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544A7" w:rsidRPr="004364E5">
        <w:rPr>
          <w:rFonts w:asciiTheme="minorHAnsi" w:hAnsiTheme="minorHAnsi"/>
          <w:sz w:val="24"/>
          <w:szCs w:val="24"/>
        </w:rPr>
        <w:t>teljes</w:t>
      </w:r>
      <w:proofErr w:type="spellEnd"/>
      <w:r w:rsidR="003544A7" w:rsidRPr="004364E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544A7" w:rsidRPr="004364E5">
        <w:rPr>
          <w:rFonts w:asciiTheme="minorHAnsi" w:hAnsiTheme="minorHAnsi"/>
          <w:sz w:val="24"/>
          <w:szCs w:val="24"/>
        </w:rPr>
        <w:t>egészében</w:t>
      </w:r>
      <w:proofErr w:type="spellEnd"/>
      <w:r w:rsidR="003544A7" w:rsidRPr="004364E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544A7" w:rsidRPr="004364E5">
        <w:rPr>
          <w:rFonts w:asciiTheme="minorHAnsi" w:hAnsiTheme="minorHAnsi"/>
          <w:sz w:val="24"/>
          <w:szCs w:val="24"/>
        </w:rPr>
        <w:t>kihagyták</w:t>
      </w:r>
      <w:proofErr w:type="spellEnd"/>
      <w:r w:rsidR="003544A7" w:rsidRPr="004364E5">
        <w:rPr>
          <w:rFonts w:asciiTheme="minorHAnsi" w:hAnsiTheme="minorHAnsi"/>
          <w:sz w:val="24"/>
          <w:szCs w:val="24"/>
        </w:rPr>
        <w:t xml:space="preserve">) </w:t>
      </w:r>
    </w:p>
    <w:p w:rsidR="002E65CE" w:rsidRPr="004364E5" w:rsidRDefault="005D30BB" w:rsidP="00522388">
      <w:pPr>
        <w:pStyle w:val="Listaszerbekezds"/>
        <w:numPr>
          <w:ilvl w:val="1"/>
          <w:numId w:val="17"/>
        </w:numPr>
        <w:spacing w:after="160" w:line="259" w:lineRule="auto"/>
        <w:ind w:left="1788"/>
        <w:rPr>
          <w:rFonts w:asciiTheme="minorHAnsi" w:hAnsiTheme="minorHAnsi"/>
          <w:sz w:val="24"/>
          <w:szCs w:val="24"/>
        </w:rPr>
      </w:pPr>
      <w:r w:rsidRPr="004364E5">
        <w:rPr>
          <w:rFonts w:asciiTheme="minorHAnsi" w:hAnsiTheme="minorHAnsi"/>
          <w:sz w:val="24"/>
          <w:szCs w:val="24"/>
        </w:rPr>
        <w:t xml:space="preserve">a </w:t>
      </w:r>
      <w:proofErr w:type="spellStart"/>
      <w:r w:rsidRPr="004364E5">
        <w:rPr>
          <w:rFonts w:asciiTheme="minorHAnsi" w:hAnsiTheme="minorHAnsi"/>
          <w:sz w:val="24"/>
          <w:szCs w:val="24"/>
        </w:rPr>
        <w:t>munkavállalási</w:t>
      </w:r>
      <w:proofErr w:type="spellEnd"/>
      <w:r w:rsidRPr="004364E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364E5">
        <w:rPr>
          <w:rFonts w:asciiTheme="minorHAnsi" w:hAnsiTheme="minorHAnsi"/>
          <w:sz w:val="24"/>
          <w:szCs w:val="24"/>
        </w:rPr>
        <w:t>korúak</w:t>
      </w:r>
      <w:proofErr w:type="spellEnd"/>
      <w:r w:rsidRPr="004364E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E65CE" w:rsidRPr="004364E5">
        <w:rPr>
          <w:rFonts w:asciiTheme="minorHAnsi" w:hAnsiTheme="minorHAnsi"/>
          <w:sz w:val="24"/>
          <w:szCs w:val="24"/>
        </w:rPr>
        <w:t>egészségi</w:t>
      </w:r>
      <w:proofErr w:type="spellEnd"/>
      <w:r w:rsidR="002E65CE" w:rsidRPr="004364E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E65CE" w:rsidRPr="004364E5">
        <w:rPr>
          <w:rFonts w:asciiTheme="minorHAnsi" w:hAnsiTheme="minorHAnsi"/>
          <w:sz w:val="24"/>
          <w:szCs w:val="24"/>
        </w:rPr>
        <w:t>állapot</w:t>
      </w:r>
      <w:proofErr w:type="spellEnd"/>
      <w:r w:rsidR="002E65CE" w:rsidRPr="004364E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E65CE" w:rsidRPr="004364E5">
        <w:rPr>
          <w:rFonts w:asciiTheme="minorHAnsi" w:hAnsiTheme="minorHAnsi"/>
          <w:sz w:val="24"/>
          <w:szCs w:val="24"/>
        </w:rPr>
        <w:t>javítás</w:t>
      </w:r>
      <w:r w:rsidRPr="004364E5">
        <w:rPr>
          <w:rFonts w:asciiTheme="minorHAnsi" w:hAnsiTheme="minorHAnsi"/>
          <w:sz w:val="24"/>
          <w:szCs w:val="24"/>
        </w:rPr>
        <w:t>ában</w:t>
      </w:r>
      <w:proofErr w:type="spellEnd"/>
    </w:p>
    <w:p w:rsidR="002E65CE" w:rsidRPr="004364E5" w:rsidRDefault="002E65CE" w:rsidP="002E65CE">
      <w:pPr>
        <w:pStyle w:val="Listaszerbekezds"/>
        <w:numPr>
          <w:ilvl w:val="0"/>
          <w:numId w:val="17"/>
        </w:numPr>
        <w:spacing w:after="160" w:line="259" w:lineRule="auto"/>
        <w:ind w:left="1068"/>
        <w:rPr>
          <w:rFonts w:asciiTheme="minorHAnsi" w:hAnsiTheme="minorHAnsi"/>
          <w:sz w:val="24"/>
          <w:szCs w:val="24"/>
        </w:rPr>
      </w:pPr>
      <w:r w:rsidRPr="004364E5">
        <w:rPr>
          <w:rFonts w:asciiTheme="minorHAnsi" w:hAnsiTheme="minorHAnsi"/>
          <w:b/>
          <w:sz w:val="24"/>
          <w:szCs w:val="24"/>
        </w:rPr>
        <w:t xml:space="preserve">a </w:t>
      </w:r>
      <w:proofErr w:type="spellStart"/>
      <w:r w:rsidRPr="004364E5">
        <w:rPr>
          <w:rFonts w:asciiTheme="minorHAnsi" w:hAnsiTheme="minorHAnsi"/>
          <w:b/>
          <w:sz w:val="24"/>
          <w:szCs w:val="24"/>
        </w:rPr>
        <w:t>közkiadások</w:t>
      </w:r>
      <w:proofErr w:type="spellEnd"/>
      <w:r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hAnsiTheme="minorHAnsi"/>
          <w:b/>
          <w:sz w:val="24"/>
          <w:szCs w:val="24"/>
        </w:rPr>
        <w:t>finanszírozási</w:t>
      </w:r>
      <w:proofErr w:type="spellEnd"/>
      <w:r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hAnsiTheme="minorHAnsi"/>
          <w:b/>
          <w:sz w:val="24"/>
          <w:szCs w:val="24"/>
        </w:rPr>
        <w:t>forrásainak</w:t>
      </w:r>
      <w:proofErr w:type="spellEnd"/>
      <w:r w:rsidRPr="004364E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hAnsiTheme="minorHAnsi"/>
          <w:b/>
          <w:sz w:val="24"/>
          <w:szCs w:val="24"/>
        </w:rPr>
        <w:t>bővítése</w:t>
      </w:r>
      <w:proofErr w:type="spellEnd"/>
    </w:p>
    <w:p w:rsidR="002E65CE" w:rsidRPr="004364E5" w:rsidRDefault="002E65CE" w:rsidP="002E65CE">
      <w:pPr>
        <w:pStyle w:val="Listaszerbekezds"/>
        <w:numPr>
          <w:ilvl w:val="1"/>
          <w:numId w:val="17"/>
        </w:numPr>
        <w:spacing w:after="160" w:line="259" w:lineRule="auto"/>
        <w:ind w:left="1788"/>
        <w:rPr>
          <w:rFonts w:asciiTheme="minorHAnsi" w:hAnsiTheme="minorHAnsi"/>
          <w:sz w:val="24"/>
          <w:szCs w:val="24"/>
        </w:rPr>
      </w:pPr>
      <w:proofErr w:type="spellStart"/>
      <w:r w:rsidRPr="004364E5">
        <w:rPr>
          <w:rFonts w:asciiTheme="minorHAnsi" w:hAnsiTheme="minorHAnsi"/>
          <w:sz w:val="24"/>
          <w:szCs w:val="24"/>
        </w:rPr>
        <w:t>fekete</w:t>
      </w:r>
      <w:proofErr w:type="spellEnd"/>
      <w:r w:rsidRPr="004364E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364E5">
        <w:rPr>
          <w:rFonts w:asciiTheme="minorHAnsi" w:hAnsiTheme="minorHAnsi"/>
          <w:sz w:val="24"/>
          <w:szCs w:val="24"/>
        </w:rPr>
        <w:t>gazdaság</w:t>
      </w:r>
      <w:proofErr w:type="spellEnd"/>
      <w:r w:rsidRPr="004364E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364E5">
        <w:rPr>
          <w:rFonts w:asciiTheme="minorHAnsi" w:hAnsiTheme="minorHAnsi"/>
          <w:sz w:val="24"/>
          <w:szCs w:val="24"/>
        </w:rPr>
        <w:t>elleni</w:t>
      </w:r>
      <w:proofErr w:type="spellEnd"/>
      <w:r w:rsidRPr="004364E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364E5">
        <w:rPr>
          <w:rFonts w:asciiTheme="minorHAnsi" w:hAnsiTheme="minorHAnsi"/>
          <w:sz w:val="24"/>
          <w:szCs w:val="24"/>
        </w:rPr>
        <w:t>fellépés</w:t>
      </w:r>
      <w:proofErr w:type="spellEnd"/>
    </w:p>
    <w:p w:rsidR="002E65CE" w:rsidRPr="004364E5" w:rsidRDefault="002E65CE" w:rsidP="002E65CE">
      <w:pPr>
        <w:pStyle w:val="Listaszerbekezds"/>
        <w:numPr>
          <w:ilvl w:val="1"/>
          <w:numId w:val="17"/>
        </w:numPr>
        <w:spacing w:after="160" w:line="259" w:lineRule="auto"/>
        <w:ind w:left="1788"/>
        <w:rPr>
          <w:rFonts w:asciiTheme="minorHAnsi" w:hAnsiTheme="minorHAnsi"/>
          <w:sz w:val="24"/>
          <w:szCs w:val="24"/>
        </w:rPr>
      </w:pPr>
      <w:proofErr w:type="spellStart"/>
      <w:r w:rsidRPr="004364E5">
        <w:rPr>
          <w:rFonts w:asciiTheme="minorHAnsi" w:hAnsiTheme="minorHAnsi"/>
          <w:sz w:val="24"/>
          <w:szCs w:val="24"/>
        </w:rPr>
        <w:t>külföldre</w:t>
      </w:r>
      <w:proofErr w:type="spellEnd"/>
      <w:r w:rsidRPr="004364E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364E5">
        <w:rPr>
          <w:rFonts w:asciiTheme="minorHAnsi" w:hAnsiTheme="minorHAnsi"/>
          <w:sz w:val="24"/>
          <w:szCs w:val="24"/>
        </w:rPr>
        <w:t>menekített</w:t>
      </w:r>
      <w:proofErr w:type="spellEnd"/>
      <w:r w:rsidRPr="004364E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364E5">
        <w:rPr>
          <w:rFonts w:asciiTheme="minorHAnsi" w:hAnsiTheme="minorHAnsi"/>
          <w:sz w:val="24"/>
          <w:szCs w:val="24"/>
        </w:rPr>
        <w:t>pénzek</w:t>
      </w:r>
      <w:proofErr w:type="spellEnd"/>
      <w:r w:rsidRPr="004364E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364E5">
        <w:rPr>
          <w:rFonts w:asciiTheme="minorHAnsi" w:hAnsiTheme="minorHAnsi"/>
          <w:sz w:val="24"/>
          <w:szCs w:val="24"/>
        </w:rPr>
        <w:t>megadóztatása</w:t>
      </w:r>
      <w:proofErr w:type="spellEnd"/>
      <w:r w:rsidRPr="004364E5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4364E5">
        <w:rPr>
          <w:rFonts w:asciiTheme="minorHAnsi" w:hAnsiTheme="minorHAnsi"/>
          <w:sz w:val="24"/>
          <w:szCs w:val="24"/>
        </w:rPr>
        <w:t>elkobzása</w:t>
      </w:r>
      <w:proofErr w:type="spellEnd"/>
      <w:r w:rsidRPr="004364E5">
        <w:rPr>
          <w:rFonts w:asciiTheme="minorHAnsi" w:hAnsiTheme="minorHAnsi"/>
          <w:sz w:val="24"/>
          <w:szCs w:val="24"/>
        </w:rPr>
        <w:t>)</w:t>
      </w:r>
    </w:p>
    <w:p w:rsidR="002E65CE" w:rsidRPr="004364E5" w:rsidRDefault="002E65CE" w:rsidP="002E65CE">
      <w:pPr>
        <w:pStyle w:val="Listaszerbekezds"/>
        <w:rPr>
          <w:rFonts w:asciiTheme="minorHAnsi" w:hAnsiTheme="minorHAnsi"/>
          <w:sz w:val="24"/>
          <w:szCs w:val="24"/>
        </w:rPr>
      </w:pPr>
    </w:p>
    <w:p w:rsidR="008803E1" w:rsidRPr="004364E5" w:rsidRDefault="008803E1" w:rsidP="005117D4">
      <w:pPr>
        <w:pStyle w:val="Listaszerbekezds"/>
        <w:spacing w:line="276" w:lineRule="auto"/>
        <w:ind w:left="1068"/>
        <w:rPr>
          <w:rFonts w:asciiTheme="minorHAnsi" w:eastAsia="Calibri" w:hAnsiTheme="minorHAnsi"/>
          <w:b/>
          <w:sz w:val="24"/>
          <w:szCs w:val="24"/>
        </w:rPr>
      </w:pPr>
    </w:p>
    <w:p w:rsidR="008803E1" w:rsidRPr="004364E5" w:rsidRDefault="008803E1" w:rsidP="005117D4">
      <w:pPr>
        <w:pStyle w:val="Listaszerbekezds"/>
        <w:spacing w:line="276" w:lineRule="auto"/>
        <w:ind w:left="1068"/>
        <w:rPr>
          <w:rFonts w:asciiTheme="minorHAnsi" w:eastAsia="Calibri" w:hAnsiTheme="minorHAnsi"/>
          <w:b/>
          <w:sz w:val="24"/>
          <w:szCs w:val="24"/>
        </w:rPr>
      </w:pPr>
    </w:p>
    <w:p w:rsidR="008803E1" w:rsidRPr="004364E5" w:rsidRDefault="008803E1" w:rsidP="005117D4">
      <w:pPr>
        <w:pStyle w:val="Listaszerbekezds"/>
        <w:spacing w:line="276" w:lineRule="auto"/>
        <w:ind w:left="1068"/>
        <w:rPr>
          <w:rFonts w:asciiTheme="minorHAnsi" w:eastAsia="Calibri" w:hAnsiTheme="minorHAnsi"/>
          <w:b/>
          <w:sz w:val="24"/>
          <w:szCs w:val="24"/>
        </w:rPr>
      </w:pPr>
    </w:p>
    <w:p w:rsidR="008803E1" w:rsidRPr="004364E5" w:rsidRDefault="008803E1" w:rsidP="005117D4">
      <w:pPr>
        <w:pStyle w:val="Listaszerbekezds"/>
        <w:spacing w:line="276" w:lineRule="auto"/>
        <w:ind w:left="1068"/>
        <w:rPr>
          <w:rFonts w:asciiTheme="minorHAnsi" w:eastAsia="Calibri" w:hAnsiTheme="minorHAnsi"/>
          <w:b/>
          <w:sz w:val="24"/>
          <w:szCs w:val="24"/>
        </w:rPr>
      </w:pPr>
    </w:p>
    <w:p w:rsidR="008803E1" w:rsidRPr="004364E5" w:rsidRDefault="008803E1" w:rsidP="005117D4">
      <w:pPr>
        <w:pStyle w:val="Listaszerbekezds"/>
        <w:spacing w:line="276" w:lineRule="auto"/>
        <w:ind w:left="1068"/>
        <w:rPr>
          <w:rFonts w:asciiTheme="minorHAnsi" w:eastAsia="Calibri" w:hAnsiTheme="minorHAnsi"/>
          <w:b/>
          <w:sz w:val="24"/>
          <w:szCs w:val="24"/>
        </w:rPr>
      </w:pPr>
    </w:p>
    <w:p w:rsidR="008803E1" w:rsidRPr="004364E5" w:rsidRDefault="008803E1" w:rsidP="005117D4">
      <w:pPr>
        <w:pStyle w:val="Listaszerbekezds"/>
        <w:spacing w:line="276" w:lineRule="auto"/>
        <w:ind w:left="1068"/>
        <w:rPr>
          <w:rFonts w:asciiTheme="minorHAnsi" w:eastAsia="Calibri" w:hAnsiTheme="minorHAnsi"/>
          <w:b/>
          <w:sz w:val="24"/>
          <w:szCs w:val="24"/>
        </w:rPr>
      </w:pPr>
    </w:p>
    <w:p w:rsidR="008803E1" w:rsidRPr="004364E5" w:rsidRDefault="008803E1" w:rsidP="005117D4">
      <w:pPr>
        <w:pStyle w:val="Listaszerbekezds"/>
        <w:spacing w:line="276" w:lineRule="auto"/>
        <w:ind w:left="1068"/>
        <w:rPr>
          <w:rFonts w:asciiTheme="minorHAnsi" w:eastAsia="Calibri" w:hAnsiTheme="minorHAnsi"/>
          <w:b/>
          <w:sz w:val="24"/>
          <w:szCs w:val="24"/>
        </w:rPr>
      </w:pPr>
    </w:p>
    <w:p w:rsidR="008803E1" w:rsidRPr="004364E5" w:rsidRDefault="008803E1" w:rsidP="005117D4">
      <w:pPr>
        <w:pStyle w:val="Listaszerbekezds"/>
        <w:spacing w:line="276" w:lineRule="auto"/>
        <w:ind w:left="1068"/>
        <w:rPr>
          <w:rFonts w:asciiTheme="minorHAnsi" w:eastAsia="Calibri" w:hAnsiTheme="minorHAnsi"/>
          <w:b/>
          <w:sz w:val="24"/>
          <w:szCs w:val="24"/>
        </w:rPr>
      </w:pPr>
    </w:p>
    <w:p w:rsidR="008803E1" w:rsidRPr="004364E5" w:rsidRDefault="008803E1" w:rsidP="005117D4">
      <w:pPr>
        <w:pStyle w:val="Listaszerbekezds"/>
        <w:spacing w:line="276" w:lineRule="auto"/>
        <w:ind w:left="1068"/>
        <w:rPr>
          <w:rFonts w:asciiTheme="minorHAnsi" w:eastAsia="Calibri" w:hAnsiTheme="minorHAnsi"/>
          <w:b/>
          <w:sz w:val="24"/>
          <w:szCs w:val="24"/>
        </w:rPr>
      </w:pPr>
    </w:p>
    <w:p w:rsidR="008803E1" w:rsidRPr="004364E5" w:rsidRDefault="008803E1" w:rsidP="005117D4">
      <w:pPr>
        <w:pStyle w:val="Listaszerbekezds"/>
        <w:spacing w:line="276" w:lineRule="auto"/>
        <w:ind w:left="1068"/>
        <w:rPr>
          <w:rFonts w:asciiTheme="minorHAnsi" w:eastAsia="Calibri" w:hAnsiTheme="minorHAnsi"/>
          <w:b/>
          <w:sz w:val="24"/>
          <w:szCs w:val="24"/>
        </w:rPr>
      </w:pPr>
    </w:p>
    <w:p w:rsidR="008803E1" w:rsidRPr="004364E5" w:rsidRDefault="008803E1" w:rsidP="005117D4">
      <w:pPr>
        <w:pStyle w:val="Listaszerbekezds"/>
        <w:spacing w:line="276" w:lineRule="auto"/>
        <w:ind w:left="1068"/>
        <w:rPr>
          <w:rFonts w:asciiTheme="minorHAnsi" w:eastAsia="Calibri" w:hAnsiTheme="minorHAnsi"/>
          <w:b/>
          <w:sz w:val="24"/>
          <w:szCs w:val="24"/>
        </w:rPr>
      </w:pPr>
    </w:p>
    <w:p w:rsidR="008803E1" w:rsidRPr="004364E5" w:rsidRDefault="008803E1" w:rsidP="005117D4">
      <w:pPr>
        <w:pStyle w:val="Listaszerbekezds"/>
        <w:spacing w:line="276" w:lineRule="auto"/>
        <w:ind w:left="1068"/>
        <w:rPr>
          <w:rFonts w:asciiTheme="minorHAnsi" w:eastAsia="Calibri" w:hAnsiTheme="minorHAnsi"/>
          <w:b/>
          <w:sz w:val="24"/>
          <w:szCs w:val="24"/>
        </w:rPr>
      </w:pPr>
    </w:p>
    <w:p w:rsidR="008803E1" w:rsidRPr="004364E5" w:rsidRDefault="008803E1" w:rsidP="005117D4">
      <w:pPr>
        <w:pStyle w:val="Listaszerbekezds"/>
        <w:spacing w:line="276" w:lineRule="auto"/>
        <w:ind w:left="1068"/>
        <w:rPr>
          <w:rFonts w:asciiTheme="minorHAnsi" w:eastAsia="Calibri" w:hAnsiTheme="minorHAnsi"/>
          <w:b/>
          <w:sz w:val="24"/>
          <w:szCs w:val="24"/>
        </w:rPr>
      </w:pPr>
    </w:p>
    <w:p w:rsidR="008803E1" w:rsidRPr="004364E5" w:rsidRDefault="008803E1" w:rsidP="005117D4">
      <w:pPr>
        <w:pStyle w:val="Listaszerbekezds"/>
        <w:spacing w:line="276" w:lineRule="auto"/>
        <w:ind w:left="1068"/>
        <w:rPr>
          <w:rFonts w:asciiTheme="minorHAnsi" w:eastAsia="Calibri" w:hAnsiTheme="minorHAnsi"/>
          <w:b/>
          <w:sz w:val="24"/>
          <w:szCs w:val="24"/>
        </w:rPr>
      </w:pPr>
    </w:p>
    <w:p w:rsidR="008803E1" w:rsidRPr="004364E5" w:rsidRDefault="008803E1" w:rsidP="005117D4">
      <w:pPr>
        <w:pStyle w:val="Listaszerbekezds"/>
        <w:spacing w:line="276" w:lineRule="auto"/>
        <w:ind w:left="1068"/>
        <w:rPr>
          <w:rFonts w:asciiTheme="minorHAnsi" w:eastAsia="Calibri" w:hAnsiTheme="minorHAnsi"/>
          <w:b/>
          <w:sz w:val="24"/>
          <w:szCs w:val="24"/>
        </w:rPr>
      </w:pPr>
    </w:p>
    <w:p w:rsidR="003F3A7E" w:rsidRPr="004364E5" w:rsidRDefault="003F3A7E" w:rsidP="005117D4">
      <w:pPr>
        <w:pStyle w:val="Listaszerbekezds"/>
        <w:spacing w:line="276" w:lineRule="auto"/>
        <w:ind w:left="1068"/>
        <w:rPr>
          <w:rFonts w:asciiTheme="minorHAnsi" w:eastAsia="Calibri" w:hAnsiTheme="minorHAnsi"/>
          <w:b/>
          <w:sz w:val="24"/>
          <w:szCs w:val="24"/>
        </w:rPr>
      </w:pPr>
    </w:p>
    <w:p w:rsidR="003F3A7E" w:rsidRPr="004364E5" w:rsidRDefault="003F3A7E" w:rsidP="005117D4">
      <w:pPr>
        <w:pStyle w:val="Listaszerbekezds"/>
        <w:spacing w:line="276" w:lineRule="auto"/>
        <w:ind w:left="1068"/>
        <w:rPr>
          <w:rFonts w:asciiTheme="minorHAnsi" w:eastAsia="Calibri" w:hAnsiTheme="minorHAnsi"/>
          <w:b/>
          <w:sz w:val="24"/>
          <w:szCs w:val="24"/>
        </w:rPr>
      </w:pPr>
    </w:p>
    <w:p w:rsidR="00DA341E" w:rsidRPr="004364E5" w:rsidRDefault="00DA341E" w:rsidP="005117D4">
      <w:pPr>
        <w:pStyle w:val="Listaszerbekezds"/>
        <w:spacing w:line="276" w:lineRule="auto"/>
        <w:ind w:left="1068"/>
        <w:rPr>
          <w:rFonts w:asciiTheme="minorHAnsi" w:eastAsia="Calibri" w:hAnsiTheme="minorHAnsi"/>
          <w:b/>
          <w:sz w:val="24"/>
          <w:szCs w:val="24"/>
        </w:rPr>
      </w:pPr>
    </w:p>
    <w:p w:rsidR="00DA341E" w:rsidRPr="004364E5" w:rsidRDefault="00DA341E" w:rsidP="005117D4">
      <w:pPr>
        <w:pStyle w:val="Listaszerbekezds"/>
        <w:spacing w:line="276" w:lineRule="auto"/>
        <w:ind w:left="1068"/>
        <w:rPr>
          <w:rFonts w:asciiTheme="minorHAnsi" w:eastAsia="Calibri" w:hAnsiTheme="minorHAnsi"/>
          <w:b/>
          <w:sz w:val="24"/>
          <w:szCs w:val="24"/>
        </w:rPr>
      </w:pPr>
    </w:p>
    <w:p w:rsidR="00DA341E" w:rsidRPr="004364E5" w:rsidRDefault="00DA341E" w:rsidP="005117D4">
      <w:pPr>
        <w:pStyle w:val="Listaszerbekezds"/>
        <w:spacing w:line="276" w:lineRule="auto"/>
        <w:ind w:left="1068"/>
        <w:rPr>
          <w:rFonts w:asciiTheme="minorHAnsi" w:eastAsia="Calibri" w:hAnsiTheme="minorHAnsi"/>
          <w:b/>
          <w:sz w:val="24"/>
          <w:szCs w:val="24"/>
        </w:rPr>
      </w:pPr>
    </w:p>
    <w:p w:rsidR="00DA341E" w:rsidRPr="004364E5" w:rsidRDefault="00DA341E" w:rsidP="005117D4">
      <w:pPr>
        <w:pStyle w:val="Listaszerbekezds"/>
        <w:spacing w:line="276" w:lineRule="auto"/>
        <w:ind w:left="1068"/>
        <w:rPr>
          <w:rFonts w:asciiTheme="minorHAnsi" w:eastAsia="Calibri" w:hAnsiTheme="minorHAnsi"/>
          <w:b/>
          <w:sz w:val="24"/>
          <w:szCs w:val="24"/>
        </w:rPr>
      </w:pPr>
    </w:p>
    <w:p w:rsidR="00DA341E" w:rsidRPr="004364E5" w:rsidRDefault="00DA341E" w:rsidP="005117D4">
      <w:pPr>
        <w:pStyle w:val="Listaszerbekezds"/>
        <w:spacing w:line="276" w:lineRule="auto"/>
        <w:ind w:left="1068"/>
        <w:rPr>
          <w:rFonts w:asciiTheme="minorHAnsi" w:eastAsia="Calibri" w:hAnsiTheme="minorHAnsi"/>
          <w:b/>
          <w:sz w:val="24"/>
          <w:szCs w:val="24"/>
        </w:rPr>
      </w:pPr>
    </w:p>
    <w:p w:rsidR="003F3A7E" w:rsidRPr="004364E5" w:rsidRDefault="003F3A7E" w:rsidP="005117D4">
      <w:pPr>
        <w:pStyle w:val="Listaszerbekezds"/>
        <w:spacing w:line="276" w:lineRule="auto"/>
        <w:ind w:left="1068"/>
        <w:rPr>
          <w:rFonts w:asciiTheme="minorHAnsi" w:eastAsia="Calibri" w:hAnsiTheme="minorHAnsi"/>
          <w:b/>
          <w:sz w:val="24"/>
          <w:szCs w:val="24"/>
        </w:rPr>
      </w:pPr>
    </w:p>
    <w:p w:rsidR="003F3A7E" w:rsidRPr="004364E5" w:rsidRDefault="003F3A7E" w:rsidP="005117D4">
      <w:pPr>
        <w:pStyle w:val="Listaszerbekezds"/>
        <w:spacing w:line="276" w:lineRule="auto"/>
        <w:ind w:left="1068"/>
        <w:rPr>
          <w:rFonts w:asciiTheme="minorHAnsi" w:eastAsia="Calibri" w:hAnsiTheme="minorHAnsi"/>
          <w:b/>
          <w:sz w:val="24"/>
          <w:szCs w:val="24"/>
        </w:rPr>
      </w:pPr>
    </w:p>
    <w:p w:rsidR="003F3A7E" w:rsidRPr="004364E5" w:rsidRDefault="003F3A7E" w:rsidP="005117D4">
      <w:pPr>
        <w:pStyle w:val="Listaszerbekezds"/>
        <w:spacing w:line="276" w:lineRule="auto"/>
        <w:ind w:left="1068"/>
        <w:rPr>
          <w:rFonts w:asciiTheme="minorHAnsi" w:eastAsia="Calibri" w:hAnsiTheme="minorHAnsi"/>
          <w:b/>
          <w:sz w:val="24"/>
          <w:szCs w:val="24"/>
        </w:rPr>
      </w:pPr>
    </w:p>
    <w:p w:rsidR="002D2706" w:rsidRPr="004364E5" w:rsidRDefault="002D2706" w:rsidP="002D2706">
      <w:pPr>
        <w:spacing w:line="276" w:lineRule="auto"/>
        <w:rPr>
          <w:rFonts w:asciiTheme="minorHAnsi" w:eastAsia="Calibri" w:hAnsiTheme="minorHAnsi"/>
          <w:b/>
          <w:sz w:val="24"/>
          <w:szCs w:val="24"/>
        </w:rPr>
      </w:pPr>
    </w:p>
    <w:p w:rsidR="008803E1" w:rsidRPr="004364E5" w:rsidRDefault="008803E1" w:rsidP="002D2706">
      <w:pPr>
        <w:spacing w:line="276" w:lineRule="auto"/>
        <w:rPr>
          <w:rFonts w:asciiTheme="minorHAnsi" w:eastAsia="Calibri" w:hAnsiTheme="minorHAnsi"/>
          <w:b/>
          <w:sz w:val="24"/>
          <w:szCs w:val="24"/>
        </w:rPr>
      </w:pP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Függelék</w:t>
      </w:r>
      <w:proofErr w:type="spellEnd"/>
    </w:p>
    <w:p w:rsidR="008803E1" w:rsidRPr="004364E5" w:rsidRDefault="008803E1" w:rsidP="002D2706">
      <w:pPr>
        <w:spacing w:line="276" w:lineRule="auto"/>
        <w:rPr>
          <w:rFonts w:asciiTheme="minorHAnsi" w:eastAsia="Calibri" w:hAnsiTheme="minorHAnsi"/>
          <w:b/>
          <w:sz w:val="24"/>
          <w:szCs w:val="24"/>
        </w:rPr>
      </w:pPr>
      <w:r w:rsidRPr="004364E5">
        <w:rPr>
          <w:rFonts w:asciiTheme="minorHAnsi" w:eastAsia="Calibri" w:hAnsiTheme="minorHAnsi"/>
          <w:b/>
          <w:sz w:val="24"/>
          <w:szCs w:val="24"/>
        </w:rPr>
        <w:t xml:space="preserve">A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MOSZ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javaslatot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alátámasztó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adatok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és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statisztikák</w:t>
      </w:r>
      <w:proofErr w:type="spellEnd"/>
    </w:p>
    <w:p w:rsidR="002D2706" w:rsidRPr="004364E5" w:rsidRDefault="002D2706" w:rsidP="002D2706">
      <w:pPr>
        <w:spacing w:line="276" w:lineRule="auto"/>
        <w:rPr>
          <w:rFonts w:asciiTheme="minorHAnsi" w:eastAsia="Calibri" w:hAnsiTheme="minorHAnsi"/>
          <w:b/>
          <w:sz w:val="24"/>
          <w:szCs w:val="24"/>
        </w:rPr>
      </w:pPr>
    </w:p>
    <w:p w:rsidR="002D2706" w:rsidRPr="004364E5" w:rsidRDefault="003F3A7E" w:rsidP="002D2706">
      <w:pPr>
        <w:spacing w:line="276" w:lineRule="auto"/>
        <w:rPr>
          <w:rFonts w:asciiTheme="minorHAnsi" w:eastAsia="Calibri" w:hAnsiTheme="minorHAnsi"/>
          <w:b/>
          <w:sz w:val="24"/>
          <w:szCs w:val="24"/>
        </w:rPr>
      </w:pPr>
      <w:r w:rsidRPr="004364E5">
        <w:rPr>
          <w:rFonts w:asciiTheme="minorHAnsi" w:eastAsia="Calibri" w:hAnsiTheme="minorHAnsi"/>
          <w:b/>
          <w:sz w:val="24"/>
          <w:szCs w:val="24"/>
        </w:rPr>
        <w:t xml:space="preserve">I. A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mi</w:t>
      </w:r>
      <w:r w:rsidR="002D2706" w:rsidRPr="004364E5">
        <w:rPr>
          <w:rFonts w:asciiTheme="minorHAnsi" w:eastAsia="Calibri" w:hAnsiTheme="minorHAnsi"/>
          <w:b/>
          <w:sz w:val="24"/>
          <w:szCs w:val="24"/>
        </w:rPr>
        <w:t>n</w:t>
      </w:r>
      <w:r w:rsidRPr="004364E5">
        <w:rPr>
          <w:rFonts w:asciiTheme="minorHAnsi" w:eastAsia="Calibri" w:hAnsiTheme="minorHAnsi"/>
          <w:b/>
          <w:sz w:val="24"/>
          <w:szCs w:val="24"/>
        </w:rPr>
        <w:t>i</w:t>
      </w:r>
      <w:r w:rsidR="002D2706" w:rsidRPr="004364E5">
        <w:rPr>
          <w:rFonts w:asciiTheme="minorHAnsi" w:eastAsia="Calibri" w:hAnsiTheme="minorHAnsi"/>
          <w:b/>
          <w:sz w:val="24"/>
          <w:szCs w:val="24"/>
        </w:rPr>
        <w:t>málbér</w:t>
      </w:r>
      <w:proofErr w:type="spellEnd"/>
      <w:r w:rsidR="002D2706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2D2706" w:rsidRPr="004364E5">
        <w:rPr>
          <w:rFonts w:asciiTheme="minorHAnsi" w:eastAsia="Calibri" w:hAnsiTheme="minorHAnsi"/>
          <w:b/>
          <w:sz w:val="24"/>
          <w:szCs w:val="24"/>
        </w:rPr>
        <w:t>emelések</w:t>
      </w:r>
      <w:proofErr w:type="spellEnd"/>
      <w:r w:rsidR="002D2706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2D2706" w:rsidRPr="004364E5">
        <w:rPr>
          <w:rFonts w:asciiTheme="minorHAnsi" w:eastAsia="Calibri" w:hAnsiTheme="minorHAnsi"/>
          <w:b/>
          <w:sz w:val="24"/>
          <w:szCs w:val="24"/>
        </w:rPr>
        <w:t>indoklása</w:t>
      </w:r>
      <w:proofErr w:type="spellEnd"/>
    </w:p>
    <w:p w:rsidR="008803E1" w:rsidRPr="004364E5" w:rsidRDefault="008803E1" w:rsidP="005117D4">
      <w:pPr>
        <w:pStyle w:val="Listaszerbekezds"/>
        <w:spacing w:line="276" w:lineRule="auto"/>
        <w:ind w:left="1068"/>
        <w:rPr>
          <w:rFonts w:asciiTheme="minorHAnsi" w:eastAsia="Calibri" w:hAnsiTheme="minorHAnsi"/>
          <w:b/>
          <w:sz w:val="24"/>
          <w:szCs w:val="24"/>
        </w:rPr>
      </w:pPr>
    </w:p>
    <w:p w:rsidR="00337F22" w:rsidRPr="004364E5" w:rsidRDefault="001623AF" w:rsidP="008803E1">
      <w:pPr>
        <w:pStyle w:val="Listaszerbekezds"/>
        <w:numPr>
          <w:ilvl w:val="0"/>
          <w:numId w:val="16"/>
        </w:numPr>
        <w:spacing w:line="276" w:lineRule="auto"/>
        <w:rPr>
          <w:rFonts w:asciiTheme="minorHAnsi" w:eastAsia="Calibri" w:hAnsiTheme="minorHAnsi"/>
          <w:b/>
          <w:sz w:val="24"/>
          <w:szCs w:val="24"/>
        </w:rPr>
      </w:pPr>
      <w:r w:rsidRPr="004364E5">
        <w:rPr>
          <w:rFonts w:asciiTheme="minorHAnsi" w:eastAsia="Calibri" w:hAnsiTheme="minorHAnsi"/>
          <w:b/>
          <w:sz w:val="24"/>
          <w:szCs w:val="24"/>
        </w:rPr>
        <w:t xml:space="preserve">A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minimálbér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nettó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értéke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és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a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létminimum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alakulása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: </w:t>
      </w:r>
    </w:p>
    <w:p w:rsidR="001623AF" w:rsidRPr="004364E5" w:rsidRDefault="00337F22" w:rsidP="008803E1">
      <w:pPr>
        <w:pStyle w:val="Listaszerbekezds"/>
        <w:spacing w:line="276" w:lineRule="auto"/>
        <w:ind w:left="0"/>
        <w:rPr>
          <w:rFonts w:asciiTheme="minorHAnsi" w:eastAsia="Calibri" w:hAnsiTheme="minorHAnsi"/>
          <w:b/>
          <w:sz w:val="24"/>
          <w:szCs w:val="24"/>
        </w:rPr>
      </w:pPr>
      <w:r w:rsidRPr="004364E5">
        <w:rPr>
          <w:rFonts w:asciiTheme="minorHAnsi" w:eastAsia="Calibri" w:hAnsiTheme="minorHAnsi"/>
          <w:b/>
          <w:sz w:val="24"/>
          <w:szCs w:val="24"/>
        </w:rPr>
        <w:t xml:space="preserve">A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minimálbér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nettó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összege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r w:rsidR="001623AF" w:rsidRPr="004364E5">
        <w:rPr>
          <w:rFonts w:asciiTheme="minorHAnsi" w:eastAsia="Calibri" w:hAnsiTheme="minorHAnsi"/>
          <w:b/>
          <w:sz w:val="24"/>
          <w:szCs w:val="24"/>
        </w:rPr>
        <w:t>2010-ben 23%-</w:t>
      </w:r>
      <w:proofErr w:type="spellStart"/>
      <w:r w:rsidR="001623AF" w:rsidRPr="004364E5">
        <w:rPr>
          <w:rFonts w:asciiTheme="minorHAnsi" w:eastAsia="Calibri" w:hAnsiTheme="minorHAnsi"/>
          <w:b/>
          <w:sz w:val="24"/>
          <w:szCs w:val="24"/>
        </w:rPr>
        <w:t>kal</w:t>
      </w:r>
      <w:proofErr w:type="spellEnd"/>
      <w:r w:rsidR="001623AF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1623AF" w:rsidRPr="004364E5">
        <w:rPr>
          <w:rFonts w:asciiTheme="minorHAnsi" w:eastAsia="Calibri" w:hAnsiTheme="minorHAnsi"/>
          <w:b/>
          <w:sz w:val="24"/>
          <w:szCs w:val="24"/>
        </w:rPr>
        <w:t>marad</w:t>
      </w:r>
      <w:r w:rsidRPr="004364E5">
        <w:rPr>
          <w:rFonts w:asciiTheme="minorHAnsi" w:eastAsia="Calibri" w:hAnsiTheme="minorHAnsi"/>
          <w:b/>
          <w:sz w:val="24"/>
          <w:szCs w:val="24"/>
        </w:rPr>
        <w:t>t</w:t>
      </w:r>
      <w:proofErr w:type="spellEnd"/>
      <w:r w:rsidR="001623AF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1623AF" w:rsidRPr="004364E5">
        <w:rPr>
          <w:rFonts w:asciiTheme="minorHAnsi" w:eastAsia="Calibri" w:hAnsiTheme="minorHAnsi"/>
          <w:b/>
          <w:sz w:val="24"/>
          <w:szCs w:val="24"/>
        </w:rPr>
        <w:t>alatta</w:t>
      </w:r>
      <w:proofErr w:type="spellEnd"/>
      <w:r w:rsidR="001623AF" w:rsidRPr="004364E5">
        <w:rPr>
          <w:rFonts w:asciiTheme="minorHAnsi" w:eastAsia="Calibri" w:hAnsiTheme="minorHAnsi"/>
          <w:b/>
          <w:sz w:val="24"/>
          <w:szCs w:val="24"/>
        </w:rPr>
        <w:t xml:space="preserve"> a </w:t>
      </w:r>
      <w:proofErr w:type="spellStart"/>
      <w:r w:rsidR="001623AF" w:rsidRPr="004364E5">
        <w:rPr>
          <w:rFonts w:asciiTheme="minorHAnsi" w:eastAsia="Calibri" w:hAnsiTheme="minorHAnsi"/>
          <w:b/>
          <w:sz w:val="24"/>
          <w:szCs w:val="24"/>
        </w:rPr>
        <w:t>létminimumnak</w:t>
      </w:r>
      <w:proofErr w:type="spellEnd"/>
      <w:r w:rsidR="001623AF" w:rsidRPr="004364E5">
        <w:rPr>
          <w:rFonts w:asciiTheme="minorHAnsi" w:eastAsia="Calibri" w:hAnsiTheme="minorHAnsi"/>
          <w:b/>
          <w:sz w:val="24"/>
          <w:szCs w:val="24"/>
        </w:rPr>
        <w:t xml:space="preserve">, 2015-ben a </w:t>
      </w:r>
      <w:proofErr w:type="spellStart"/>
      <w:r w:rsidR="001623AF" w:rsidRPr="004364E5">
        <w:rPr>
          <w:rFonts w:asciiTheme="minorHAnsi" w:eastAsia="Calibri" w:hAnsiTheme="minorHAnsi"/>
          <w:b/>
          <w:sz w:val="24"/>
          <w:szCs w:val="24"/>
        </w:rPr>
        <w:t>várható</w:t>
      </w:r>
      <w:proofErr w:type="spellEnd"/>
      <w:r w:rsidR="001623AF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1623AF" w:rsidRPr="004364E5">
        <w:rPr>
          <w:rFonts w:asciiTheme="minorHAnsi" w:eastAsia="Calibri" w:hAnsiTheme="minorHAnsi"/>
          <w:b/>
          <w:sz w:val="24"/>
          <w:szCs w:val="24"/>
        </w:rPr>
        <w:t>elmaradás</w:t>
      </w:r>
      <w:proofErr w:type="spellEnd"/>
      <w:r w:rsidR="001623AF" w:rsidRPr="004364E5">
        <w:rPr>
          <w:rFonts w:asciiTheme="minorHAnsi" w:eastAsia="Calibri" w:hAnsiTheme="minorHAnsi"/>
          <w:b/>
          <w:sz w:val="24"/>
          <w:szCs w:val="24"/>
        </w:rPr>
        <w:t xml:space="preserve"> 22%-</w:t>
      </w:r>
      <w:proofErr w:type="spellStart"/>
      <w:r w:rsidR="001623AF" w:rsidRPr="004364E5">
        <w:rPr>
          <w:rFonts w:asciiTheme="minorHAnsi" w:eastAsia="Calibri" w:hAnsiTheme="minorHAnsi"/>
          <w:b/>
          <w:sz w:val="24"/>
          <w:szCs w:val="24"/>
        </w:rPr>
        <w:t>os</w:t>
      </w:r>
      <w:proofErr w:type="spellEnd"/>
      <w:r w:rsidR="001623AF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1623AF" w:rsidRPr="004364E5">
        <w:rPr>
          <w:rFonts w:asciiTheme="minorHAnsi" w:eastAsia="Calibri" w:hAnsiTheme="minorHAnsi"/>
          <w:b/>
          <w:sz w:val="24"/>
          <w:szCs w:val="24"/>
        </w:rPr>
        <w:t>lesz</w:t>
      </w:r>
      <w:proofErr w:type="spellEnd"/>
      <w:r w:rsidR="001623AF" w:rsidRPr="004364E5">
        <w:rPr>
          <w:rFonts w:asciiTheme="minorHAnsi" w:eastAsia="Calibri" w:hAnsiTheme="minorHAnsi"/>
          <w:b/>
          <w:sz w:val="24"/>
          <w:szCs w:val="24"/>
        </w:rPr>
        <w:t>.</w:t>
      </w:r>
    </w:p>
    <w:p w:rsidR="00337F22" w:rsidRPr="004364E5" w:rsidRDefault="001623AF" w:rsidP="001623AF">
      <w:pPr>
        <w:spacing w:line="276" w:lineRule="auto"/>
        <w:rPr>
          <w:noProof/>
          <w:lang w:val="hu-HU" w:eastAsia="hu-HU"/>
        </w:rPr>
      </w:pPr>
      <w:r w:rsidRPr="004364E5">
        <w:rPr>
          <w:noProof/>
          <w:lang w:val="hu-HU" w:eastAsia="hu-HU"/>
        </w:rPr>
        <w:t xml:space="preserve"> </w:t>
      </w:r>
      <w:r w:rsidR="0094360A" w:rsidRPr="004364E5">
        <w:rPr>
          <w:noProof/>
          <w:lang w:val="hu-HU" w:eastAsia="hu-HU"/>
        </w:rPr>
        <w:drawing>
          <wp:inline distT="0" distB="0" distL="0" distR="0" wp14:anchorId="3D8C5D52" wp14:editId="6519F7BA">
            <wp:extent cx="5310835" cy="3664915"/>
            <wp:effectExtent l="0" t="0" r="4445" b="12065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445CA" w:rsidRPr="004364E5" w:rsidRDefault="00A445CA" w:rsidP="0094360A">
      <w:pPr>
        <w:spacing w:line="276" w:lineRule="auto"/>
        <w:rPr>
          <w:rFonts w:asciiTheme="minorHAnsi" w:eastAsia="Calibri" w:hAnsiTheme="minorHAnsi"/>
          <w:b/>
          <w:sz w:val="24"/>
          <w:szCs w:val="24"/>
        </w:rPr>
      </w:pP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Forrás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: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KSH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és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saját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számítás</w:t>
      </w:r>
      <w:proofErr w:type="spellEnd"/>
    </w:p>
    <w:p w:rsidR="00337F22" w:rsidRPr="004364E5" w:rsidRDefault="00337F22" w:rsidP="001623AF">
      <w:pPr>
        <w:spacing w:line="276" w:lineRule="auto"/>
        <w:rPr>
          <w:rFonts w:asciiTheme="minorHAnsi" w:hAnsiTheme="minorHAnsi"/>
          <w:b/>
          <w:noProof/>
          <w:sz w:val="24"/>
          <w:szCs w:val="24"/>
          <w:lang w:val="hu-HU" w:eastAsia="hu-HU"/>
        </w:rPr>
      </w:pPr>
    </w:p>
    <w:p w:rsidR="00042078" w:rsidRPr="004364E5" w:rsidRDefault="00042078" w:rsidP="001623AF">
      <w:pPr>
        <w:spacing w:line="276" w:lineRule="auto"/>
        <w:rPr>
          <w:rFonts w:asciiTheme="minorHAnsi" w:hAnsiTheme="minorHAnsi"/>
          <w:b/>
          <w:noProof/>
          <w:sz w:val="24"/>
          <w:szCs w:val="24"/>
          <w:lang w:val="hu-HU" w:eastAsia="hu-HU"/>
        </w:rPr>
      </w:pPr>
      <w:r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>A javasolt minimálbéremeléssel a minimálbér nettó összege a létminimum 78%áról  a várható létmimimum érték 84%-ára emelkedne</w:t>
      </w:r>
      <w:r w:rsidR="006404BC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>, a szakmai bérminimum, amely most 8 300 Ft-tal, marad el a létminimumtól,  2016-ban 2 000 Ft-tal haladná meg a becsült létminimumot</w:t>
      </w:r>
      <w:r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. </w:t>
      </w:r>
    </w:p>
    <w:p w:rsidR="00810C0F" w:rsidRPr="004364E5" w:rsidRDefault="00810C0F" w:rsidP="001623AF">
      <w:pPr>
        <w:spacing w:line="276" w:lineRule="auto"/>
        <w:rPr>
          <w:rFonts w:asciiTheme="minorHAnsi" w:hAnsiTheme="minorHAnsi"/>
          <w:b/>
          <w:noProof/>
          <w:sz w:val="24"/>
          <w:szCs w:val="24"/>
          <w:lang w:val="hu-HU" w:eastAsia="hu-HU"/>
        </w:rPr>
      </w:pPr>
    </w:p>
    <w:p w:rsidR="00810C0F" w:rsidRPr="004364E5" w:rsidRDefault="00810C0F" w:rsidP="00810C0F">
      <w:pPr>
        <w:pStyle w:val="Listaszerbekezds"/>
        <w:numPr>
          <w:ilvl w:val="0"/>
          <w:numId w:val="6"/>
        </w:numPr>
        <w:spacing w:line="276" w:lineRule="auto"/>
        <w:rPr>
          <w:rFonts w:asciiTheme="minorHAnsi" w:eastAsia="Calibri" w:hAnsiTheme="minorHAnsi"/>
          <w:b/>
          <w:sz w:val="24"/>
          <w:szCs w:val="24"/>
        </w:rPr>
      </w:pPr>
      <w:r w:rsidRPr="004364E5">
        <w:rPr>
          <w:rFonts w:asciiTheme="minorHAnsi" w:eastAsia="Calibri" w:hAnsiTheme="minorHAnsi"/>
          <w:b/>
          <w:sz w:val="24"/>
          <w:szCs w:val="24"/>
        </w:rPr>
        <w:t xml:space="preserve">A 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szakmai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bérminimum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esetében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javasolt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magasabb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emelési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%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indoklása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>:</w:t>
      </w:r>
    </w:p>
    <w:p w:rsidR="00810C0F" w:rsidRPr="004364E5" w:rsidRDefault="00810C0F" w:rsidP="00810C0F">
      <w:pPr>
        <w:spacing w:line="276" w:lineRule="auto"/>
        <w:rPr>
          <w:rFonts w:asciiTheme="minorHAnsi" w:eastAsia="Calibri" w:hAnsiTheme="minorHAnsi"/>
          <w:b/>
          <w:sz w:val="24"/>
          <w:szCs w:val="24"/>
        </w:rPr>
      </w:pPr>
    </w:p>
    <w:p w:rsidR="00810C0F" w:rsidRPr="004364E5" w:rsidRDefault="00810C0F" w:rsidP="00810C0F">
      <w:pPr>
        <w:spacing w:line="276" w:lineRule="auto"/>
        <w:rPr>
          <w:rFonts w:asciiTheme="minorHAnsi" w:eastAsia="Calibri" w:hAnsiTheme="minorHAnsi"/>
          <w:b/>
          <w:sz w:val="24"/>
          <w:szCs w:val="24"/>
        </w:rPr>
      </w:pPr>
      <w:r w:rsidRPr="004364E5">
        <w:rPr>
          <w:rFonts w:asciiTheme="minorHAnsi" w:eastAsia="Calibri" w:hAnsiTheme="minorHAnsi"/>
          <w:b/>
          <w:sz w:val="24"/>
          <w:szCs w:val="24"/>
        </w:rPr>
        <w:t xml:space="preserve">2010-2014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között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a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legalacsonyabb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bér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decilisnek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juttatott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bruttó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béremelés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meghaladta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a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felette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levő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három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decilis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bruttó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bérnövekedését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, </w:t>
      </w:r>
      <w:proofErr w:type="spellStart"/>
      <w:proofErr w:type="gramStart"/>
      <w:r w:rsidRPr="004364E5">
        <w:rPr>
          <w:rFonts w:asciiTheme="minorHAnsi" w:eastAsia="Calibri" w:hAnsiTheme="minorHAnsi"/>
          <w:b/>
          <w:sz w:val="24"/>
          <w:szCs w:val="24"/>
        </w:rPr>
        <w:t>miközben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 e</w:t>
      </w:r>
      <w:proofErr w:type="gram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magasabb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decilisek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átlagbér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összege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még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mindig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alacsony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,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az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adójóváírás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kivezetése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az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ezen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decilisekbe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tartózó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bérek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nettó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összegét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is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csökkentette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. </w:t>
      </w:r>
    </w:p>
    <w:p w:rsidR="00810C0F" w:rsidRPr="004364E5" w:rsidRDefault="00810C0F" w:rsidP="00810C0F">
      <w:pPr>
        <w:spacing w:line="276" w:lineRule="auto"/>
        <w:rPr>
          <w:rFonts w:asciiTheme="minorHAnsi" w:eastAsia="Calibri" w:hAnsiTheme="minorHAnsi"/>
          <w:b/>
          <w:sz w:val="24"/>
          <w:szCs w:val="24"/>
        </w:rPr>
      </w:pPr>
      <w:r w:rsidRPr="004364E5">
        <w:rPr>
          <w:rFonts w:asciiTheme="minorHAnsi" w:eastAsia="Calibri" w:hAnsiTheme="minorHAnsi"/>
          <w:b/>
          <w:sz w:val="24"/>
          <w:szCs w:val="24"/>
        </w:rPr>
        <w:t xml:space="preserve">A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fokozódó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munkaerőhiány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is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elsősorban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a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szakképzett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munkakörökben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jelentkezik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>.</w:t>
      </w:r>
    </w:p>
    <w:p w:rsidR="00810C0F" w:rsidRPr="004364E5" w:rsidRDefault="00810C0F" w:rsidP="00810C0F">
      <w:pPr>
        <w:spacing w:line="276" w:lineRule="auto"/>
        <w:ind w:left="1068"/>
        <w:rPr>
          <w:rFonts w:asciiTheme="minorHAnsi" w:eastAsia="Calibri" w:hAnsiTheme="minorHAnsi"/>
          <w:b/>
          <w:sz w:val="24"/>
          <w:szCs w:val="24"/>
        </w:rPr>
      </w:pPr>
    </w:p>
    <w:p w:rsidR="00810C0F" w:rsidRPr="004364E5" w:rsidRDefault="00810C0F" w:rsidP="00810C0F">
      <w:pPr>
        <w:spacing w:line="276" w:lineRule="auto"/>
        <w:rPr>
          <w:rFonts w:asciiTheme="minorHAnsi" w:eastAsia="Calibri" w:hAnsiTheme="minorHAnsi"/>
          <w:b/>
          <w:sz w:val="24"/>
          <w:szCs w:val="24"/>
        </w:rPr>
      </w:pPr>
      <w:r w:rsidRPr="004364E5">
        <w:rPr>
          <w:rFonts w:asciiTheme="minorHAnsi" w:eastAsia="Calibri" w:hAnsiTheme="minorHAnsi"/>
          <w:b/>
          <w:noProof/>
          <w:sz w:val="24"/>
          <w:szCs w:val="24"/>
          <w:lang w:val="hu-HU" w:eastAsia="hu-HU"/>
        </w:rPr>
        <w:lastRenderedPageBreak/>
        <w:drawing>
          <wp:inline distT="0" distB="0" distL="0" distR="0" wp14:anchorId="47BAAFBB" wp14:editId="5FF47D7C">
            <wp:extent cx="6739255" cy="4048125"/>
            <wp:effectExtent l="0" t="0" r="4445" b="952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52370" cy="4056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C0F" w:rsidRPr="004364E5" w:rsidRDefault="00810C0F" w:rsidP="00810C0F">
      <w:pPr>
        <w:spacing w:line="276" w:lineRule="auto"/>
        <w:rPr>
          <w:rFonts w:asciiTheme="minorHAnsi" w:hAnsiTheme="minorHAnsi"/>
          <w:b/>
          <w:noProof/>
          <w:sz w:val="24"/>
          <w:szCs w:val="24"/>
          <w:lang w:val="hu-HU" w:eastAsia="hu-HU"/>
        </w:rPr>
      </w:pPr>
      <w:r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>Forrás: NGM és saját számítás</w:t>
      </w:r>
    </w:p>
    <w:p w:rsidR="00810C0F" w:rsidRPr="004364E5" w:rsidRDefault="00810C0F" w:rsidP="00810C0F">
      <w:pPr>
        <w:spacing w:line="276" w:lineRule="auto"/>
        <w:rPr>
          <w:rFonts w:asciiTheme="minorHAnsi" w:eastAsia="Calibri" w:hAnsiTheme="minorHAnsi"/>
          <w:b/>
          <w:sz w:val="24"/>
          <w:szCs w:val="24"/>
        </w:rPr>
      </w:pPr>
    </w:p>
    <w:p w:rsidR="006404BC" w:rsidRPr="004364E5" w:rsidRDefault="002D2706" w:rsidP="002D2706">
      <w:pPr>
        <w:pStyle w:val="Listaszerbekezds"/>
        <w:numPr>
          <w:ilvl w:val="0"/>
          <w:numId w:val="3"/>
        </w:numPr>
        <w:spacing w:line="276" w:lineRule="auto"/>
        <w:rPr>
          <w:rFonts w:asciiTheme="minorHAnsi" w:hAnsiTheme="minorHAnsi"/>
          <w:b/>
          <w:noProof/>
          <w:sz w:val="24"/>
          <w:szCs w:val="24"/>
          <w:lang w:val="hu-HU" w:eastAsia="hu-HU"/>
        </w:rPr>
      </w:pPr>
      <w:r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>A magyar minimálbér bruttó összege a leghátsó fertályon található Európában. A hazai minimálbér nemcsak nyugat-, hanem kelet-európai összevetésben is alacsony: a lengyel minimálbértől 25%-os az elmaradás, a szlováktól 13%-os.</w:t>
      </w:r>
    </w:p>
    <w:p w:rsidR="001623AF" w:rsidRPr="004364E5" w:rsidRDefault="001623AF" w:rsidP="001623AF">
      <w:pPr>
        <w:spacing w:line="276" w:lineRule="auto"/>
        <w:rPr>
          <w:noProof/>
          <w:lang w:val="hu-HU" w:eastAsia="hu-HU"/>
        </w:rPr>
      </w:pPr>
      <w:r w:rsidRPr="004364E5">
        <w:rPr>
          <w:rFonts w:asciiTheme="minorHAnsi" w:eastAsia="Calibri" w:hAnsiTheme="minorHAnsi"/>
          <w:b/>
          <w:noProof/>
          <w:sz w:val="24"/>
          <w:szCs w:val="24"/>
          <w:lang w:val="hu-HU" w:eastAsia="hu-HU"/>
        </w:rPr>
        <w:drawing>
          <wp:inline distT="0" distB="0" distL="0" distR="0" wp14:anchorId="59D9482D" wp14:editId="094FAE6C">
            <wp:extent cx="6536055" cy="382905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42811" cy="383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3AF" w:rsidRPr="004364E5" w:rsidRDefault="00A445CA" w:rsidP="001623AF">
      <w:pPr>
        <w:spacing w:line="276" w:lineRule="auto"/>
        <w:rPr>
          <w:rFonts w:asciiTheme="minorHAnsi" w:hAnsiTheme="minorHAnsi"/>
          <w:b/>
          <w:noProof/>
          <w:sz w:val="24"/>
          <w:szCs w:val="24"/>
          <w:lang w:val="hu-HU" w:eastAsia="hu-HU"/>
        </w:rPr>
      </w:pPr>
      <w:r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>Forrás: Eurostat</w:t>
      </w:r>
    </w:p>
    <w:p w:rsidR="002D2706" w:rsidRPr="004364E5" w:rsidRDefault="002D2706" w:rsidP="001623AF">
      <w:pPr>
        <w:spacing w:line="276" w:lineRule="auto"/>
        <w:rPr>
          <w:rFonts w:asciiTheme="minorHAnsi" w:hAnsiTheme="minorHAnsi"/>
          <w:b/>
          <w:noProof/>
          <w:sz w:val="24"/>
          <w:szCs w:val="24"/>
          <w:lang w:val="hu-HU" w:eastAsia="hu-HU"/>
        </w:rPr>
      </w:pPr>
    </w:p>
    <w:p w:rsidR="002D2706" w:rsidRPr="004364E5" w:rsidRDefault="002D2706" w:rsidP="001623AF">
      <w:pPr>
        <w:spacing w:line="276" w:lineRule="auto"/>
        <w:rPr>
          <w:rFonts w:asciiTheme="minorHAnsi" w:hAnsiTheme="minorHAnsi"/>
          <w:b/>
          <w:noProof/>
          <w:sz w:val="24"/>
          <w:szCs w:val="24"/>
          <w:lang w:val="hu-HU" w:eastAsia="hu-HU"/>
        </w:rPr>
      </w:pPr>
    </w:p>
    <w:p w:rsidR="002D2706" w:rsidRPr="004364E5" w:rsidRDefault="002D2706" w:rsidP="002D2706">
      <w:pPr>
        <w:pStyle w:val="Listaszerbekezds"/>
        <w:numPr>
          <w:ilvl w:val="0"/>
          <w:numId w:val="6"/>
        </w:numPr>
        <w:spacing w:line="276" w:lineRule="auto"/>
        <w:rPr>
          <w:rFonts w:asciiTheme="minorHAnsi" w:hAnsiTheme="minorHAnsi"/>
          <w:b/>
          <w:noProof/>
          <w:sz w:val="24"/>
          <w:szCs w:val="24"/>
          <w:lang w:val="hu-HU" w:eastAsia="hu-HU"/>
        </w:rPr>
      </w:pPr>
      <w:r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>A minimálbér emelési dinamika is elmarad a kelet-európai régiótól:</w:t>
      </w:r>
    </w:p>
    <w:p w:rsidR="002D2706" w:rsidRPr="004364E5" w:rsidRDefault="002D2706" w:rsidP="002D2706">
      <w:pPr>
        <w:spacing w:line="276" w:lineRule="auto"/>
        <w:rPr>
          <w:noProof/>
          <w:lang w:val="hu-HU" w:eastAsia="hu-HU"/>
        </w:rPr>
      </w:pPr>
    </w:p>
    <w:p w:rsidR="002D2706" w:rsidRPr="004364E5" w:rsidRDefault="002D2706" w:rsidP="002D2706">
      <w:pPr>
        <w:spacing w:line="276" w:lineRule="auto"/>
        <w:rPr>
          <w:noProof/>
          <w:lang w:val="hu-HU" w:eastAsia="hu-HU"/>
        </w:rPr>
      </w:pPr>
      <w:r w:rsidRPr="004364E5">
        <w:rPr>
          <w:noProof/>
          <w:lang w:val="hu-HU" w:eastAsia="hu-HU"/>
        </w:rPr>
        <w:drawing>
          <wp:inline distT="0" distB="0" distL="0" distR="0" wp14:anchorId="048AEA39" wp14:editId="6048420E">
            <wp:extent cx="6096851" cy="3429479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706" w:rsidRPr="004364E5" w:rsidRDefault="002D2706" w:rsidP="001623AF">
      <w:pPr>
        <w:spacing w:line="276" w:lineRule="auto"/>
        <w:rPr>
          <w:rFonts w:asciiTheme="minorHAnsi" w:hAnsiTheme="minorHAnsi"/>
          <w:b/>
          <w:noProof/>
          <w:sz w:val="24"/>
          <w:szCs w:val="24"/>
          <w:lang w:val="hu-HU" w:eastAsia="hu-HU"/>
        </w:rPr>
      </w:pPr>
      <w:r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>Forrás: Eurostat</w:t>
      </w:r>
    </w:p>
    <w:p w:rsidR="003F3A7E" w:rsidRPr="004364E5" w:rsidRDefault="003F3A7E" w:rsidP="001623AF">
      <w:pPr>
        <w:spacing w:line="276" w:lineRule="auto"/>
        <w:rPr>
          <w:rFonts w:asciiTheme="minorHAnsi" w:hAnsiTheme="minorHAnsi"/>
          <w:b/>
          <w:noProof/>
          <w:sz w:val="24"/>
          <w:szCs w:val="24"/>
          <w:lang w:val="hu-HU" w:eastAsia="hu-HU"/>
        </w:rPr>
      </w:pPr>
    </w:p>
    <w:p w:rsidR="003F3A7E" w:rsidRPr="004364E5" w:rsidRDefault="00726311" w:rsidP="003F3A7E">
      <w:pPr>
        <w:pStyle w:val="Listaszerbekezds"/>
        <w:numPr>
          <w:ilvl w:val="0"/>
          <w:numId w:val="6"/>
        </w:numPr>
        <w:spacing w:line="276" w:lineRule="auto"/>
        <w:rPr>
          <w:rFonts w:asciiTheme="minorHAnsi" w:hAnsiTheme="minorHAnsi"/>
          <w:b/>
          <w:noProof/>
          <w:sz w:val="24"/>
          <w:szCs w:val="24"/>
          <w:lang w:val="hu-HU" w:eastAsia="hu-HU"/>
        </w:rPr>
      </w:pPr>
      <w:r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A minimálbérek nettó összegében mért elmaradás </w:t>
      </w:r>
      <w:r w:rsidRPr="004364E5">
        <w:rPr>
          <w:rFonts w:asciiTheme="minorHAnsi" w:hAnsiTheme="minorHAnsi"/>
          <w:noProof/>
          <w:sz w:val="24"/>
          <w:szCs w:val="24"/>
          <w:lang w:val="hu-HU" w:eastAsia="hu-HU"/>
        </w:rPr>
        <w:t xml:space="preserve">az EU országok többségétől még a bruttóban mértnél is jóval nagyobb, tekintettel  </w:t>
      </w:r>
      <w:r w:rsidR="00DD7075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a </w:t>
      </w:r>
      <w:r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 bérekre rakodó</w:t>
      </w:r>
      <w:r w:rsidR="005F3EEB" w:rsidRPr="004364E5">
        <w:rPr>
          <w:rFonts w:asciiTheme="minorHAnsi" w:hAnsiTheme="minorHAnsi"/>
          <w:noProof/>
          <w:sz w:val="24"/>
          <w:szCs w:val="24"/>
          <w:lang w:val="hu-HU" w:eastAsia="hu-HU"/>
        </w:rPr>
        <w:t xml:space="preserve"> </w:t>
      </w:r>
      <w:r w:rsidR="00810C0F" w:rsidRPr="004364E5">
        <w:rPr>
          <w:rFonts w:asciiTheme="minorHAnsi" w:hAnsiTheme="minorHAnsi"/>
          <w:noProof/>
          <w:sz w:val="24"/>
          <w:szCs w:val="24"/>
          <w:lang w:val="hu-HU" w:eastAsia="hu-HU"/>
        </w:rPr>
        <w:t xml:space="preserve"> európai vi</w:t>
      </w:r>
      <w:r w:rsidR="00DD7075" w:rsidRPr="004364E5">
        <w:rPr>
          <w:rFonts w:asciiTheme="minorHAnsi" w:hAnsiTheme="minorHAnsi"/>
          <w:noProof/>
          <w:sz w:val="24"/>
          <w:szCs w:val="24"/>
          <w:lang w:val="hu-HU" w:eastAsia="hu-HU"/>
        </w:rPr>
        <w:t xml:space="preserve">szonylatban is kimagasló </w:t>
      </w:r>
      <w:r w:rsidR="00810C0F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 </w:t>
      </w:r>
      <w:r w:rsidR="00DD7075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>adóékre</w:t>
      </w:r>
      <w:r w:rsidR="00DD7075" w:rsidRPr="004364E5">
        <w:rPr>
          <w:rFonts w:asciiTheme="minorHAnsi" w:hAnsiTheme="minorHAnsi"/>
          <w:noProof/>
          <w:sz w:val="24"/>
          <w:szCs w:val="24"/>
          <w:lang w:val="hu-HU" w:eastAsia="hu-HU"/>
        </w:rPr>
        <w:t xml:space="preserve">, és ezen belül </w:t>
      </w:r>
      <w:r w:rsidR="00DD7075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>az alacsony bérekre rakodó, a</w:t>
      </w:r>
      <w:r w:rsidR="005F3EEB" w:rsidRPr="004364E5">
        <w:rPr>
          <w:rFonts w:asciiTheme="minorHAnsi" w:hAnsiTheme="minorHAnsi"/>
          <w:noProof/>
          <w:sz w:val="24"/>
          <w:szCs w:val="24"/>
          <w:lang w:val="hu-HU" w:eastAsia="hu-HU"/>
        </w:rPr>
        <w:t xml:space="preserve"> </w:t>
      </w:r>
      <w:r w:rsidR="005F3EEB"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 munkavállalókat terhelő</w:t>
      </w:r>
      <w:r w:rsidRPr="004364E5">
        <w:rPr>
          <w:rFonts w:asciiTheme="minorHAnsi" w:hAnsiTheme="minorHAnsi"/>
          <w:noProof/>
          <w:sz w:val="24"/>
          <w:szCs w:val="24"/>
          <w:lang w:val="hu-HU" w:eastAsia="hu-HU"/>
        </w:rPr>
        <w:t xml:space="preserve">, </w:t>
      </w:r>
      <w:r w:rsidR="00DD7075" w:rsidRPr="004364E5">
        <w:rPr>
          <w:rFonts w:asciiTheme="minorHAnsi" w:hAnsiTheme="minorHAnsi"/>
          <w:noProof/>
          <w:sz w:val="24"/>
          <w:szCs w:val="24"/>
          <w:lang w:val="hu-HU" w:eastAsia="hu-HU"/>
        </w:rPr>
        <w:t>magas</w:t>
      </w:r>
      <w:r w:rsidRPr="004364E5">
        <w:rPr>
          <w:rFonts w:asciiTheme="minorHAnsi" w:hAnsiTheme="minorHAnsi"/>
          <w:noProof/>
          <w:sz w:val="24"/>
          <w:szCs w:val="24"/>
          <w:lang w:val="hu-HU" w:eastAsia="hu-HU"/>
        </w:rPr>
        <w:t xml:space="preserve"> </w:t>
      </w:r>
      <w:r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adóterhekre. </w:t>
      </w:r>
    </w:p>
    <w:p w:rsidR="00757276" w:rsidRPr="004364E5" w:rsidRDefault="00757276" w:rsidP="002D2706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4"/>
          <w:szCs w:val="24"/>
          <w:lang w:val="hu-HU"/>
        </w:rPr>
      </w:pPr>
      <w:r w:rsidRPr="004364E5">
        <w:rPr>
          <w:rFonts w:asciiTheme="minorHAnsi" w:eastAsiaTheme="minorHAnsi" w:hAnsiTheme="minorHAnsi" w:cs="Arial"/>
          <w:b/>
          <w:bCs/>
          <w:sz w:val="24"/>
          <w:szCs w:val="24"/>
          <w:lang w:val="hu-HU"/>
        </w:rPr>
        <w:t xml:space="preserve">Az átlagbér 67%-át kitevő (alacsony bérű) dolgozók </w:t>
      </w:r>
      <w:proofErr w:type="gramStart"/>
      <w:r w:rsidRPr="004364E5">
        <w:rPr>
          <w:rFonts w:asciiTheme="minorHAnsi" w:eastAsiaTheme="minorHAnsi" w:hAnsiTheme="minorHAnsi" w:cs="Arial"/>
          <w:b/>
          <w:bCs/>
          <w:sz w:val="24"/>
          <w:szCs w:val="24"/>
          <w:lang w:val="hu-HU"/>
        </w:rPr>
        <w:t>béreit  terhelő</w:t>
      </w:r>
      <w:proofErr w:type="gramEnd"/>
      <w:r w:rsidRPr="004364E5">
        <w:rPr>
          <w:rFonts w:asciiTheme="minorHAnsi" w:eastAsiaTheme="minorHAnsi" w:hAnsiTheme="minorHAnsi" w:cs="Arial"/>
          <w:b/>
          <w:bCs/>
          <w:sz w:val="24"/>
          <w:szCs w:val="24"/>
          <w:lang w:val="hu-HU"/>
        </w:rPr>
        <w:t xml:space="preserve"> elvonások </w:t>
      </w:r>
    </w:p>
    <w:p w:rsidR="009F3CF6" w:rsidRPr="004364E5" w:rsidRDefault="009F3CF6" w:rsidP="009F3CF6">
      <w:pPr>
        <w:spacing w:line="276" w:lineRule="auto"/>
        <w:rPr>
          <w:rFonts w:asciiTheme="minorHAnsi" w:hAnsiTheme="minorHAnsi"/>
          <w:b/>
          <w:noProof/>
          <w:sz w:val="24"/>
          <w:szCs w:val="24"/>
          <w:lang w:val="hu-HU" w:eastAsia="hu-HU"/>
        </w:rPr>
      </w:pPr>
    </w:p>
    <w:p w:rsidR="009F3CF6" w:rsidRPr="004364E5" w:rsidRDefault="002D2706" w:rsidP="009F3CF6">
      <w:pPr>
        <w:spacing w:line="276" w:lineRule="auto"/>
        <w:rPr>
          <w:rFonts w:asciiTheme="minorHAnsi" w:hAnsiTheme="minorHAnsi"/>
          <w:b/>
          <w:noProof/>
          <w:sz w:val="24"/>
          <w:szCs w:val="24"/>
          <w:lang w:val="hu-HU" w:eastAsia="hu-HU"/>
        </w:rPr>
      </w:pPr>
      <w:r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lastRenderedPageBreak/>
        <w:drawing>
          <wp:inline distT="0" distB="0" distL="0" distR="0" wp14:anchorId="375DA870" wp14:editId="1F13903B">
            <wp:extent cx="5191531" cy="3905250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438" cy="394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CF6" w:rsidRPr="004364E5" w:rsidRDefault="009F3CF6" w:rsidP="009F3CF6">
      <w:pPr>
        <w:spacing w:line="276" w:lineRule="auto"/>
        <w:rPr>
          <w:rFonts w:asciiTheme="minorHAnsi" w:hAnsiTheme="minorHAnsi"/>
          <w:b/>
          <w:noProof/>
          <w:sz w:val="24"/>
          <w:szCs w:val="24"/>
          <w:lang w:val="hu-HU" w:eastAsia="hu-HU"/>
        </w:rPr>
      </w:pPr>
    </w:p>
    <w:p w:rsidR="00757276" w:rsidRPr="004364E5" w:rsidRDefault="00757276" w:rsidP="009F3CF6">
      <w:pPr>
        <w:spacing w:line="276" w:lineRule="auto"/>
        <w:rPr>
          <w:rFonts w:asciiTheme="minorHAnsi" w:hAnsiTheme="minorHAnsi"/>
          <w:b/>
          <w:noProof/>
          <w:sz w:val="24"/>
          <w:szCs w:val="24"/>
          <w:lang w:val="hu-HU" w:eastAsia="hu-HU"/>
        </w:rPr>
      </w:pPr>
    </w:p>
    <w:p w:rsidR="00757276" w:rsidRPr="004364E5" w:rsidRDefault="00757276" w:rsidP="00757276">
      <w:pPr>
        <w:autoSpaceDE w:val="0"/>
        <w:autoSpaceDN w:val="0"/>
        <w:adjustRightInd w:val="0"/>
        <w:rPr>
          <w:rFonts w:asciiTheme="minorHAnsi" w:eastAsiaTheme="minorHAnsi" w:hAnsiTheme="minorHAnsi" w:cs="Arial"/>
          <w:iCs/>
          <w:sz w:val="24"/>
          <w:szCs w:val="24"/>
          <w:lang w:val="hu-HU"/>
        </w:rPr>
      </w:pPr>
      <w:proofErr w:type="spellStart"/>
      <w:r w:rsidRPr="004364E5">
        <w:rPr>
          <w:rFonts w:asciiTheme="minorHAnsi" w:eastAsiaTheme="minorHAnsi" w:hAnsiTheme="minorHAnsi" w:cs="Arial"/>
          <w:b/>
          <w:bCs/>
          <w:sz w:val="24"/>
          <w:szCs w:val="24"/>
          <w:lang w:val="hu-HU"/>
        </w:rPr>
        <w:t>Short</w:t>
      </w:r>
      <w:proofErr w:type="spellEnd"/>
      <w:r w:rsidRPr="004364E5">
        <w:rPr>
          <w:rFonts w:asciiTheme="minorHAnsi" w:eastAsiaTheme="minorHAnsi" w:hAnsiTheme="minorHAnsi" w:cs="Arial"/>
          <w:b/>
          <w:bCs/>
          <w:sz w:val="24"/>
          <w:szCs w:val="24"/>
          <w:lang w:val="hu-HU"/>
        </w:rPr>
        <w:t xml:space="preserve"> </w:t>
      </w:r>
      <w:proofErr w:type="spellStart"/>
      <w:r w:rsidRPr="004364E5">
        <w:rPr>
          <w:rFonts w:asciiTheme="minorHAnsi" w:eastAsiaTheme="minorHAnsi" w:hAnsiTheme="minorHAnsi" w:cs="Arial"/>
          <w:b/>
          <w:bCs/>
          <w:sz w:val="24"/>
          <w:szCs w:val="24"/>
          <w:lang w:val="hu-HU"/>
        </w:rPr>
        <w:t>description</w:t>
      </w:r>
      <w:proofErr w:type="spellEnd"/>
      <w:r w:rsidRPr="004364E5">
        <w:rPr>
          <w:rFonts w:asciiTheme="minorHAnsi" w:eastAsiaTheme="minorHAnsi" w:hAnsiTheme="minorHAnsi" w:cs="Arial"/>
          <w:b/>
          <w:bCs/>
          <w:sz w:val="24"/>
          <w:szCs w:val="24"/>
          <w:lang w:val="hu-HU"/>
        </w:rPr>
        <w:t xml:space="preserve">: </w:t>
      </w:r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 xml:space="preserve">*Data </w:t>
      </w:r>
      <w:proofErr w:type="spellStart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>for</w:t>
      </w:r>
      <w:proofErr w:type="spellEnd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 xml:space="preserve"> </w:t>
      </w:r>
      <w:proofErr w:type="spellStart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>non-OECD-EU</w:t>
      </w:r>
      <w:proofErr w:type="spellEnd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 xml:space="preserve"> </w:t>
      </w:r>
      <w:proofErr w:type="spellStart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>countries</w:t>
      </w:r>
      <w:proofErr w:type="spellEnd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 xml:space="preserve"> (</w:t>
      </w:r>
      <w:proofErr w:type="spellStart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>BG</w:t>
      </w:r>
      <w:proofErr w:type="spellEnd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 xml:space="preserve">, </w:t>
      </w:r>
      <w:proofErr w:type="spellStart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>LV</w:t>
      </w:r>
      <w:proofErr w:type="spellEnd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 xml:space="preserve">, </w:t>
      </w:r>
      <w:proofErr w:type="spellStart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>LT</w:t>
      </w:r>
      <w:proofErr w:type="spellEnd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 xml:space="preserve">, </w:t>
      </w:r>
      <w:proofErr w:type="spellStart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>MT</w:t>
      </w:r>
      <w:proofErr w:type="spellEnd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 xml:space="preserve"> and </w:t>
      </w:r>
      <w:proofErr w:type="spellStart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>RO</w:t>
      </w:r>
      <w:proofErr w:type="spellEnd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 xml:space="preserve">) </w:t>
      </w:r>
      <w:proofErr w:type="spellStart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>are</w:t>
      </w:r>
      <w:proofErr w:type="spellEnd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 xml:space="preserve"> </w:t>
      </w:r>
      <w:proofErr w:type="spellStart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>only</w:t>
      </w:r>
      <w:proofErr w:type="spellEnd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 xml:space="preserve"> </w:t>
      </w:r>
      <w:proofErr w:type="spellStart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>available</w:t>
      </w:r>
      <w:proofErr w:type="spellEnd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 xml:space="preserve"> </w:t>
      </w:r>
      <w:proofErr w:type="spellStart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>for</w:t>
      </w:r>
      <w:proofErr w:type="spellEnd"/>
    </w:p>
    <w:p w:rsidR="00757276" w:rsidRPr="004364E5" w:rsidRDefault="00757276" w:rsidP="00757276">
      <w:pPr>
        <w:autoSpaceDE w:val="0"/>
        <w:autoSpaceDN w:val="0"/>
        <w:adjustRightInd w:val="0"/>
        <w:rPr>
          <w:rFonts w:asciiTheme="minorHAnsi" w:eastAsiaTheme="minorHAnsi" w:hAnsiTheme="minorHAnsi" w:cs="Arial"/>
          <w:iCs/>
          <w:sz w:val="24"/>
          <w:szCs w:val="24"/>
          <w:lang w:val="hu-HU"/>
        </w:rPr>
      </w:pPr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 xml:space="preserve">2011. No </w:t>
      </w:r>
      <w:proofErr w:type="spellStart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>data</w:t>
      </w:r>
      <w:proofErr w:type="spellEnd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 xml:space="preserve"> </w:t>
      </w:r>
      <w:proofErr w:type="spellStart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>for</w:t>
      </w:r>
      <w:proofErr w:type="spellEnd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 xml:space="preserve"> </w:t>
      </w:r>
      <w:proofErr w:type="spellStart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>CY</w:t>
      </w:r>
      <w:proofErr w:type="spellEnd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 xml:space="preserve">. </w:t>
      </w:r>
      <w:proofErr w:type="spellStart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>Legend</w:t>
      </w:r>
      <w:proofErr w:type="spellEnd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 xml:space="preserve">: </w:t>
      </w:r>
      <w:proofErr w:type="spellStart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>SSCer</w:t>
      </w:r>
      <w:proofErr w:type="spellEnd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 xml:space="preserve">: </w:t>
      </w:r>
      <w:proofErr w:type="spellStart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>social</w:t>
      </w:r>
      <w:proofErr w:type="spellEnd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 xml:space="preserve"> </w:t>
      </w:r>
      <w:proofErr w:type="spellStart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>security</w:t>
      </w:r>
      <w:proofErr w:type="spellEnd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 xml:space="preserve"> </w:t>
      </w:r>
      <w:proofErr w:type="spellStart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>contribution</w:t>
      </w:r>
      <w:proofErr w:type="spellEnd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 xml:space="preserve"> </w:t>
      </w:r>
      <w:proofErr w:type="spellStart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>paid</w:t>
      </w:r>
      <w:proofErr w:type="spellEnd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 xml:space="preserve"> </w:t>
      </w:r>
      <w:proofErr w:type="spellStart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>by</w:t>
      </w:r>
      <w:proofErr w:type="spellEnd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 xml:space="preserve"> </w:t>
      </w:r>
      <w:proofErr w:type="spellStart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>employer</w:t>
      </w:r>
      <w:proofErr w:type="spellEnd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 xml:space="preserve">; </w:t>
      </w:r>
      <w:proofErr w:type="spellStart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>SSCee</w:t>
      </w:r>
      <w:proofErr w:type="spellEnd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 xml:space="preserve">: </w:t>
      </w:r>
      <w:proofErr w:type="spellStart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>social</w:t>
      </w:r>
      <w:proofErr w:type="spellEnd"/>
    </w:p>
    <w:p w:rsidR="00757276" w:rsidRPr="004364E5" w:rsidRDefault="00757276" w:rsidP="00757276">
      <w:pPr>
        <w:autoSpaceDE w:val="0"/>
        <w:autoSpaceDN w:val="0"/>
        <w:adjustRightInd w:val="0"/>
        <w:rPr>
          <w:rFonts w:asciiTheme="minorHAnsi" w:eastAsiaTheme="minorHAnsi" w:hAnsiTheme="minorHAnsi" w:cs="Arial"/>
          <w:iCs/>
          <w:sz w:val="24"/>
          <w:szCs w:val="24"/>
          <w:lang w:val="hu-HU"/>
        </w:rPr>
      </w:pPr>
      <w:proofErr w:type="spellStart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>security</w:t>
      </w:r>
      <w:proofErr w:type="spellEnd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 xml:space="preserve"> </w:t>
      </w:r>
      <w:proofErr w:type="spellStart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>contribution</w:t>
      </w:r>
      <w:proofErr w:type="spellEnd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 xml:space="preserve"> </w:t>
      </w:r>
      <w:proofErr w:type="spellStart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>paid</w:t>
      </w:r>
      <w:proofErr w:type="spellEnd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 xml:space="preserve"> </w:t>
      </w:r>
      <w:proofErr w:type="spellStart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>by</w:t>
      </w:r>
      <w:proofErr w:type="spellEnd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 xml:space="preserve"> </w:t>
      </w:r>
      <w:proofErr w:type="spellStart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>employee</w:t>
      </w:r>
      <w:proofErr w:type="spellEnd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 xml:space="preserve">; PIT: </w:t>
      </w:r>
      <w:proofErr w:type="spellStart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>personal</w:t>
      </w:r>
      <w:proofErr w:type="spellEnd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 xml:space="preserve"> </w:t>
      </w:r>
      <w:proofErr w:type="spellStart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>income</w:t>
      </w:r>
      <w:proofErr w:type="spellEnd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 xml:space="preserve"> </w:t>
      </w:r>
      <w:proofErr w:type="spellStart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>tax</w:t>
      </w:r>
      <w:proofErr w:type="spellEnd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>.</w:t>
      </w:r>
    </w:p>
    <w:p w:rsidR="005F3EEB" w:rsidRPr="004364E5" w:rsidRDefault="00757276" w:rsidP="00810C0F">
      <w:pPr>
        <w:spacing w:line="276" w:lineRule="auto"/>
        <w:rPr>
          <w:rFonts w:asciiTheme="minorHAnsi" w:eastAsiaTheme="minorHAnsi" w:hAnsiTheme="minorHAnsi" w:cs="Arial"/>
          <w:iCs/>
          <w:sz w:val="24"/>
          <w:szCs w:val="24"/>
          <w:lang w:val="hu-HU"/>
        </w:rPr>
      </w:pPr>
      <w:proofErr w:type="spellStart"/>
      <w:r w:rsidRPr="004364E5">
        <w:rPr>
          <w:rFonts w:asciiTheme="minorHAnsi" w:eastAsiaTheme="minorHAnsi" w:hAnsiTheme="minorHAnsi" w:cs="Arial"/>
          <w:b/>
          <w:bCs/>
          <w:sz w:val="24"/>
          <w:szCs w:val="24"/>
          <w:lang w:val="hu-HU"/>
        </w:rPr>
        <w:t>Source</w:t>
      </w:r>
      <w:proofErr w:type="spellEnd"/>
      <w:r w:rsidRPr="004364E5">
        <w:rPr>
          <w:rFonts w:asciiTheme="minorHAnsi" w:eastAsiaTheme="minorHAnsi" w:hAnsiTheme="minorHAnsi" w:cs="Arial"/>
          <w:b/>
          <w:bCs/>
          <w:sz w:val="24"/>
          <w:szCs w:val="24"/>
          <w:lang w:val="hu-HU"/>
        </w:rPr>
        <w:t xml:space="preserve">: </w:t>
      </w:r>
      <w:proofErr w:type="spellStart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>Joint</w:t>
      </w:r>
      <w:proofErr w:type="spellEnd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 xml:space="preserve"> European </w:t>
      </w:r>
      <w:proofErr w:type="spellStart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>Commission-OECD</w:t>
      </w:r>
      <w:proofErr w:type="spellEnd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 xml:space="preserve"> project, </w:t>
      </w:r>
      <w:proofErr w:type="spellStart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>Tax</w:t>
      </w:r>
      <w:proofErr w:type="spellEnd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 xml:space="preserve"> &amp; </w:t>
      </w:r>
      <w:proofErr w:type="spellStart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>benefits</w:t>
      </w:r>
      <w:proofErr w:type="spellEnd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 xml:space="preserve"> </w:t>
      </w:r>
      <w:proofErr w:type="spellStart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>indicators</w:t>
      </w:r>
      <w:proofErr w:type="spellEnd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 xml:space="preserve"> </w:t>
      </w:r>
      <w:proofErr w:type="spellStart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>database</w:t>
      </w:r>
      <w:proofErr w:type="spellEnd"/>
      <w:r w:rsidRPr="004364E5">
        <w:rPr>
          <w:rFonts w:asciiTheme="minorHAnsi" w:eastAsiaTheme="minorHAnsi" w:hAnsiTheme="minorHAnsi" w:cs="Arial"/>
          <w:iCs/>
          <w:sz w:val="24"/>
          <w:szCs w:val="24"/>
          <w:lang w:val="hu-HU"/>
        </w:rPr>
        <w:t>.</w:t>
      </w:r>
    </w:p>
    <w:p w:rsidR="008F0472" w:rsidRPr="004364E5" w:rsidRDefault="008F0472" w:rsidP="00810C0F">
      <w:pPr>
        <w:spacing w:line="276" w:lineRule="auto"/>
        <w:rPr>
          <w:rFonts w:asciiTheme="minorHAnsi" w:eastAsiaTheme="minorHAnsi" w:hAnsiTheme="minorHAnsi" w:cs="Arial"/>
          <w:iCs/>
          <w:sz w:val="24"/>
          <w:szCs w:val="24"/>
          <w:lang w:val="hu-HU"/>
        </w:rPr>
      </w:pPr>
    </w:p>
    <w:p w:rsidR="008F0472" w:rsidRPr="004364E5" w:rsidRDefault="008F0472" w:rsidP="008F0472">
      <w:pPr>
        <w:pStyle w:val="Listaszerbekezds"/>
        <w:numPr>
          <w:ilvl w:val="0"/>
          <w:numId w:val="6"/>
        </w:numPr>
        <w:spacing w:line="276" w:lineRule="auto"/>
        <w:rPr>
          <w:rFonts w:asciiTheme="minorHAnsi" w:eastAsiaTheme="minorHAnsi" w:hAnsiTheme="minorHAnsi" w:cs="Arial"/>
          <w:b/>
          <w:iCs/>
          <w:sz w:val="24"/>
          <w:szCs w:val="24"/>
          <w:lang w:val="hu-HU"/>
        </w:rPr>
      </w:pPr>
      <w:r w:rsidRPr="004364E5">
        <w:rPr>
          <w:rFonts w:asciiTheme="minorHAnsi" w:eastAsiaTheme="minorHAnsi" w:hAnsiTheme="minorHAnsi" w:cs="Arial"/>
          <w:b/>
          <w:iCs/>
          <w:sz w:val="24"/>
          <w:szCs w:val="24"/>
          <w:lang w:val="hu-HU"/>
        </w:rPr>
        <w:t>A magyar minimálbér bruttó (54%) és nettó értéke (48%</w:t>
      </w:r>
      <w:proofErr w:type="gramStart"/>
      <w:r w:rsidRPr="004364E5">
        <w:rPr>
          <w:rFonts w:asciiTheme="minorHAnsi" w:eastAsiaTheme="minorHAnsi" w:hAnsiTheme="minorHAnsi" w:cs="Arial"/>
          <w:b/>
          <w:iCs/>
          <w:sz w:val="24"/>
          <w:szCs w:val="24"/>
          <w:lang w:val="hu-HU"/>
        </w:rPr>
        <w:t>)  jelentősen</w:t>
      </w:r>
      <w:proofErr w:type="gramEnd"/>
      <w:r w:rsidRPr="004364E5">
        <w:rPr>
          <w:rFonts w:asciiTheme="minorHAnsi" w:eastAsiaTheme="minorHAnsi" w:hAnsiTheme="minorHAnsi" w:cs="Arial"/>
          <w:b/>
          <w:iCs/>
          <w:sz w:val="24"/>
          <w:szCs w:val="24"/>
          <w:lang w:val="hu-HU"/>
        </w:rPr>
        <w:t xml:space="preserve"> eltér az átlagbérhez viszonyítva</w:t>
      </w:r>
      <w:r w:rsidR="0075282E" w:rsidRPr="004364E5">
        <w:rPr>
          <w:rFonts w:asciiTheme="minorHAnsi" w:eastAsiaTheme="minorHAnsi" w:hAnsiTheme="minorHAnsi" w:cs="Arial"/>
          <w:b/>
          <w:iCs/>
          <w:sz w:val="24"/>
          <w:szCs w:val="24"/>
          <w:lang w:val="hu-HU"/>
        </w:rPr>
        <w:t xml:space="preserve"> és jelentősen elmarad az EP 2008-as határozatában előirányzott 60%-os aránytól</w:t>
      </w:r>
    </w:p>
    <w:p w:rsidR="008F0472" w:rsidRPr="004364E5" w:rsidRDefault="008F0472" w:rsidP="00810C0F">
      <w:pPr>
        <w:spacing w:line="276" w:lineRule="auto"/>
        <w:rPr>
          <w:rFonts w:asciiTheme="minorHAnsi" w:eastAsiaTheme="minorHAnsi" w:hAnsiTheme="minorHAnsi" w:cs="Arial"/>
          <w:iCs/>
          <w:sz w:val="24"/>
          <w:szCs w:val="24"/>
          <w:lang w:val="hu-HU"/>
        </w:rPr>
      </w:pPr>
      <w:r w:rsidRPr="004364E5">
        <w:rPr>
          <w:noProof/>
          <w:lang w:val="hu-HU" w:eastAsia="hu-HU"/>
        </w:rPr>
        <w:lastRenderedPageBreak/>
        <w:drawing>
          <wp:inline distT="0" distB="0" distL="0" distR="0" wp14:anchorId="13BE1E16" wp14:editId="102547E5">
            <wp:extent cx="4991100" cy="5810250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581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9C6" w:rsidRPr="004364E5" w:rsidRDefault="001069C6" w:rsidP="001623AF">
      <w:pPr>
        <w:spacing w:line="276" w:lineRule="auto"/>
        <w:rPr>
          <w:noProof/>
          <w:lang w:val="hu-HU" w:eastAsia="hu-HU"/>
        </w:rPr>
      </w:pPr>
    </w:p>
    <w:p w:rsidR="002F297F" w:rsidRPr="004364E5" w:rsidRDefault="002D2706" w:rsidP="002D2706">
      <w:pPr>
        <w:spacing w:line="276" w:lineRule="auto"/>
        <w:rPr>
          <w:rFonts w:asciiTheme="minorHAnsi" w:eastAsia="Calibri" w:hAnsiTheme="minorHAnsi"/>
          <w:b/>
          <w:sz w:val="24"/>
          <w:szCs w:val="24"/>
        </w:rPr>
      </w:pPr>
      <w:r w:rsidRPr="004364E5">
        <w:rPr>
          <w:rFonts w:asciiTheme="minorHAnsi" w:eastAsia="Calibri" w:hAnsiTheme="minorHAnsi"/>
          <w:b/>
          <w:sz w:val="24"/>
          <w:szCs w:val="24"/>
        </w:rPr>
        <w:t xml:space="preserve">II. </w:t>
      </w:r>
      <w:r w:rsidR="00B633E0" w:rsidRPr="004364E5">
        <w:rPr>
          <w:rFonts w:asciiTheme="minorHAnsi" w:eastAsia="Calibri" w:hAnsiTheme="minorHAnsi"/>
          <w:b/>
          <w:sz w:val="24"/>
          <w:szCs w:val="24"/>
        </w:rPr>
        <w:t xml:space="preserve">A </w:t>
      </w:r>
      <w:proofErr w:type="spellStart"/>
      <w:r w:rsidR="00B633E0" w:rsidRPr="004364E5">
        <w:rPr>
          <w:rFonts w:asciiTheme="minorHAnsi" w:eastAsia="Calibri" w:hAnsiTheme="minorHAnsi"/>
          <w:b/>
          <w:sz w:val="24"/>
          <w:szCs w:val="24"/>
        </w:rPr>
        <w:t>minimálbér</w:t>
      </w:r>
      <w:proofErr w:type="spellEnd"/>
      <w:r w:rsidR="00B633E0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B633E0" w:rsidRPr="004364E5">
        <w:rPr>
          <w:rFonts w:asciiTheme="minorHAnsi" w:eastAsia="Calibri" w:hAnsiTheme="minorHAnsi"/>
          <w:b/>
          <w:sz w:val="24"/>
          <w:szCs w:val="24"/>
        </w:rPr>
        <w:t>emelés</w:t>
      </w:r>
      <w:proofErr w:type="spellEnd"/>
      <w:r w:rsidR="00B633E0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B633E0" w:rsidRPr="004364E5">
        <w:rPr>
          <w:rFonts w:asciiTheme="minorHAnsi" w:eastAsia="Calibri" w:hAnsiTheme="minorHAnsi"/>
          <w:b/>
          <w:sz w:val="24"/>
          <w:szCs w:val="24"/>
        </w:rPr>
        <w:t>forrásai</w:t>
      </w:r>
      <w:proofErr w:type="spellEnd"/>
      <w:r w:rsidR="00DA1832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</w:p>
    <w:p w:rsidR="007C706E" w:rsidRPr="004364E5" w:rsidRDefault="007C706E" w:rsidP="007C706E">
      <w:pPr>
        <w:spacing w:line="276" w:lineRule="auto"/>
        <w:rPr>
          <w:rFonts w:asciiTheme="minorHAnsi" w:eastAsia="Calibri" w:hAnsiTheme="minorHAnsi"/>
          <w:b/>
          <w:sz w:val="24"/>
          <w:szCs w:val="24"/>
        </w:rPr>
      </w:pPr>
    </w:p>
    <w:p w:rsidR="002D2706" w:rsidRPr="004364E5" w:rsidRDefault="002D2706" w:rsidP="002D2706">
      <w:pPr>
        <w:pStyle w:val="Listaszerbekezds"/>
        <w:numPr>
          <w:ilvl w:val="0"/>
          <w:numId w:val="3"/>
        </w:numPr>
        <w:spacing w:line="276" w:lineRule="auto"/>
        <w:rPr>
          <w:rFonts w:asciiTheme="minorHAnsi" w:hAnsiTheme="minorHAnsi"/>
          <w:b/>
          <w:noProof/>
          <w:sz w:val="24"/>
          <w:szCs w:val="24"/>
          <w:lang w:val="hu-HU" w:eastAsia="hu-HU"/>
        </w:rPr>
      </w:pPr>
      <w:r w:rsidRPr="004364E5">
        <w:rPr>
          <w:rFonts w:asciiTheme="minorHAnsi" w:hAnsiTheme="minorHAnsi"/>
          <w:b/>
          <w:noProof/>
          <w:sz w:val="24"/>
          <w:szCs w:val="24"/>
          <w:u w:val="single"/>
          <w:lang w:val="hu-HU" w:eastAsia="hu-HU"/>
        </w:rPr>
        <w:t>A bérek, keresetek aránya Magyarországon folyamatosan csökken a bruttó hazai termékben</w:t>
      </w:r>
      <w:r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 (GDP).  A csökkenés a GDP növekedésével (2014-ben) sem állt meg. Ha a 2010-es bér / GDP arány érvényesült volna  </w:t>
      </w:r>
      <w:r w:rsidRPr="004364E5">
        <w:rPr>
          <w:rFonts w:asciiTheme="minorHAnsi" w:hAnsiTheme="minorHAnsi"/>
          <w:b/>
          <w:noProof/>
          <w:sz w:val="24"/>
          <w:szCs w:val="24"/>
          <w:u w:val="single"/>
          <w:lang w:val="hu-HU" w:eastAsia="hu-HU"/>
        </w:rPr>
        <w:t>2014-ben</w:t>
      </w:r>
      <w:r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 xml:space="preserve"> is, akkor nemzetgazdasági szinten  234 milliárd forinttal lenne magasabb a bérek, keresetek bruttó összege a ténylegeshez képest. A javasolt minimálbér emelés hozzávetőlegesen 115 millliárd forintos költsége ennek a  különbözetnek a felét sem éri el.  </w:t>
      </w:r>
    </w:p>
    <w:p w:rsidR="002D2706" w:rsidRPr="004364E5" w:rsidRDefault="002D2706" w:rsidP="002D2706">
      <w:pPr>
        <w:spacing w:line="276" w:lineRule="auto"/>
        <w:rPr>
          <w:rFonts w:asciiTheme="minorHAnsi" w:hAnsiTheme="minorHAnsi"/>
          <w:b/>
          <w:noProof/>
          <w:sz w:val="24"/>
          <w:szCs w:val="24"/>
          <w:lang w:val="hu-HU" w:eastAsia="hu-HU"/>
        </w:rPr>
      </w:pPr>
    </w:p>
    <w:tbl>
      <w:tblPr>
        <w:tblW w:w="5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9"/>
        <w:gridCol w:w="962"/>
        <w:gridCol w:w="962"/>
        <w:gridCol w:w="962"/>
        <w:gridCol w:w="1435"/>
      </w:tblGrid>
      <w:tr w:rsidR="002D2706" w:rsidRPr="004364E5" w:rsidTr="00630D8B">
        <w:trPr>
          <w:trHeight w:val="30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706" w:rsidRPr="004364E5" w:rsidRDefault="002D2706" w:rsidP="00630D8B">
            <w:pPr>
              <w:rPr>
                <w:sz w:val="24"/>
                <w:szCs w:val="24"/>
                <w:lang w:val="hu-HU" w:eastAsia="hu-HU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06" w:rsidRPr="004364E5" w:rsidRDefault="002D2706" w:rsidP="00630D8B">
            <w:pPr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Bérek, keresetek aránya a GDP_</w:t>
            </w:r>
            <w:proofErr w:type="spellStart"/>
            <w:r w:rsidRPr="004364E5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ben</w:t>
            </w:r>
            <w:proofErr w:type="spellEnd"/>
          </w:p>
        </w:tc>
      </w:tr>
      <w:tr w:rsidR="002D2706" w:rsidRPr="004364E5" w:rsidTr="00630D8B">
        <w:trPr>
          <w:trHeight w:val="300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06" w:rsidRPr="004364E5" w:rsidRDefault="002D2706" w:rsidP="00630D8B">
            <w:pPr>
              <w:rPr>
                <w:rFonts w:ascii="Arial" w:hAnsi="Arial" w:cs="Arial"/>
                <w:lang w:val="hu-HU" w:eastAsia="hu-HU"/>
              </w:rPr>
            </w:pPr>
            <w:r w:rsidRPr="004364E5">
              <w:rPr>
                <w:rFonts w:ascii="Arial" w:hAnsi="Arial" w:cs="Arial"/>
                <w:lang w:val="hu-HU" w:eastAsia="hu-HU"/>
              </w:rPr>
              <w:t> 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706" w:rsidRPr="004364E5" w:rsidRDefault="002D2706" w:rsidP="00630D8B">
            <w:pPr>
              <w:rPr>
                <w:rFonts w:ascii="Arial" w:hAnsi="Arial" w:cs="Arial"/>
                <w:lang w:val="hu-HU" w:eastAsia="hu-HU"/>
              </w:rPr>
            </w:pPr>
            <w:r w:rsidRPr="004364E5">
              <w:rPr>
                <w:rFonts w:ascii="Arial" w:hAnsi="Arial" w:cs="Arial"/>
                <w:lang w:val="hu-HU" w:eastAsia="hu-HU"/>
              </w:rPr>
              <w:t>2010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706" w:rsidRPr="004364E5" w:rsidRDefault="002D2706" w:rsidP="00630D8B">
            <w:pPr>
              <w:jc w:val="center"/>
              <w:rPr>
                <w:rFonts w:ascii="Arial" w:hAnsi="Arial" w:cs="Arial"/>
                <w:lang w:val="hu-HU" w:eastAsia="hu-HU"/>
              </w:rPr>
            </w:pPr>
            <w:r w:rsidRPr="004364E5">
              <w:rPr>
                <w:rFonts w:ascii="Arial" w:hAnsi="Arial" w:cs="Arial"/>
                <w:lang w:val="hu-HU" w:eastAsia="hu-HU"/>
              </w:rPr>
              <w:t>2013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706" w:rsidRPr="004364E5" w:rsidRDefault="002D2706" w:rsidP="00630D8B">
            <w:pPr>
              <w:rPr>
                <w:rFonts w:ascii="Arial" w:hAnsi="Arial" w:cs="Arial"/>
                <w:lang w:val="hu-HU" w:eastAsia="hu-HU"/>
              </w:rPr>
            </w:pPr>
            <w:r w:rsidRPr="004364E5">
              <w:rPr>
                <w:rFonts w:ascii="Arial" w:hAnsi="Arial" w:cs="Arial"/>
                <w:lang w:val="hu-HU" w:eastAsia="hu-HU"/>
              </w:rPr>
              <w:t>2014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706" w:rsidRPr="004364E5" w:rsidRDefault="002D2706" w:rsidP="00630D8B">
            <w:pPr>
              <w:rPr>
                <w:rFonts w:ascii="Arial" w:hAnsi="Arial" w:cs="Arial"/>
                <w:lang w:val="hu-HU" w:eastAsia="hu-HU"/>
              </w:rPr>
            </w:pPr>
            <w:r w:rsidRPr="004364E5">
              <w:rPr>
                <w:rFonts w:ascii="Arial" w:hAnsi="Arial" w:cs="Arial"/>
                <w:lang w:val="hu-HU" w:eastAsia="hu-HU"/>
              </w:rPr>
              <w:t>2014/2010</w:t>
            </w:r>
          </w:p>
        </w:tc>
      </w:tr>
      <w:tr w:rsidR="002D2706" w:rsidRPr="004364E5" w:rsidTr="00630D8B">
        <w:trPr>
          <w:trHeight w:val="780"/>
        </w:trPr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706" w:rsidRPr="004364E5" w:rsidRDefault="002D2706" w:rsidP="00630D8B">
            <w:pPr>
              <w:rPr>
                <w:rFonts w:ascii="Arial" w:hAnsi="Arial" w:cs="Arial"/>
                <w:lang w:val="hu-HU" w:eastAsia="hu-HU"/>
              </w:rPr>
            </w:pPr>
            <w:r w:rsidRPr="004364E5">
              <w:rPr>
                <w:rFonts w:ascii="Arial" w:hAnsi="Arial" w:cs="Arial"/>
                <w:lang w:val="hu-HU" w:eastAsia="hu-HU"/>
              </w:rPr>
              <w:t xml:space="preserve">European Union (28 </w:t>
            </w:r>
            <w:proofErr w:type="spellStart"/>
            <w:r w:rsidRPr="004364E5">
              <w:rPr>
                <w:rFonts w:ascii="Arial" w:hAnsi="Arial" w:cs="Arial"/>
                <w:lang w:val="hu-HU" w:eastAsia="hu-HU"/>
              </w:rPr>
              <w:t>countries</w:t>
            </w:r>
            <w:proofErr w:type="spellEnd"/>
            <w:r w:rsidRPr="004364E5">
              <w:rPr>
                <w:rFonts w:ascii="Arial" w:hAnsi="Arial" w:cs="Arial"/>
                <w:lang w:val="hu-HU" w:eastAsia="hu-HU"/>
              </w:rPr>
              <w:t>)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06" w:rsidRPr="004364E5" w:rsidRDefault="002D2706" w:rsidP="00630D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37.9%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06" w:rsidRPr="004364E5" w:rsidRDefault="002D2706" w:rsidP="00630D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37.7%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06" w:rsidRPr="004364E5" w:rsidRDefault="002D2706" w:rsidP="00630D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37.9%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06" w:rsidRPr="004364E5" w:rsidRDefault="002D2706" w:rsidP="00630D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99.9%</w:t>
            </w:r>
          </w:p>
        </w:tc>
      </w:tr>
      <w:tr w:rsidR="002D2706" w:rsidRPr="004364E5" w:rsidTr="00630D8B">
        <w:trPr>
          <w:trHeight w:val="78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706" w:rsidRPr="004364E5" w:rsidRDefault="002D2706" w:rsidP="00630D8B">
            <w:pPr>
              <w:rPr>
                <w:rFonts w:ascii="Arial" w:hAnsi="Arial" w:cs="Arial"/>
                <w:lang w:val="hu-HU" w:eastAsia="hu-HU"/>
              </w:rPr>
            </w:pPr>
            <w:r w:rsidRPr="004364E5">
              <w:rPr>
                <w:rFonts w:ascii="Arial" w:hAnsi="Arial" w:cs="Arial"/>
                <w:lang w:val="hu-HU" w:eastAsia="hu-HU"/>
              </w:rPr>
              <w:t xml:space="preserve">European Union (15 </w:t>
            </w:r>
            <w:proofErr w:type="spellStart"/>
            <w:r w:rsidRPr="004364E5">
              <w:rPr>
                <w:rFonts w:ascii="Arial" w:hAnsi="Arial" w:cs="Arial"/>
                <w:lang w:val="hu-HU" w:eastAsia="hu-HU"/>
              </w:rPr>
              <w:t>countries</w:t>
            </w:r>
            <w:proofErr w:type="spellEnd"/>
            <w:r w:rsidRPr="004364E5">
              <w:rPr>
                <w:rFonts w:ascii="Arial" w:hAnsi="Arial" w:cs="Arial"/>
                <w:lang w:val="hu-HU" w:eastAsia="hu-HU"/>
              </w:rPr>
              <w:t>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06" w:rsidRPr="004364E5" w:rsidRDefault="002D2706" w:rsidP="00630D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38.4%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06" w:rsidRPr="004364E5" w:rsidRDefault="002D2706" w:rsidP="00630D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38.2%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06" w:rsidRPr="004364E5" w:rsidRDefault="002D2706" w:rsidP="00630D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38.4%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06" w:rsidRPr="004364E5" w:rsidRDefault="002D2706" w:rsidP="00630D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100.1%</w:t>
            </w:r>
          </w:p>
        </w:tc>
      </w:tr>
      <w:tr w:rsidR="002D2706" w:rsidRPr="004364E5" w:rsidTr="00630D8B">
        <w:trPr>
          <w:trHeight w:val="30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706" w:rsidRPr="004364E5" w:rsidRDefault="002D2706" w:rsidP="00630D8B">
            <w:pPr>
              <w:rPr>
                <w:rFonts w:ascii="Arial" w:hAnsi="Arial" w:cs="Arial"/>
                <w:lang w:val="hu-HU" w:eastAsia="hu-HU"/>
              </w:rPr>
            </w:pPr>
            <w:proofErr w:type="spellStart"/>
            <w:r w:rsidRPr="004364E5">
              <w:rPr>
                <w:rFonts w:ascii="Arial" w:hAnsi="Arial" w:cs="Arial"/>
                <w:lang w:val="hu-HU" w:eastAsia="hu-HU"/>
              </w:rPr>
              <w:lastRenderedPageBreak/>
              <w:t>Bulgaria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06" w:rsidRPr="004364E5" w:rsidRDefault="002D2706" w:rsidP="00630D8B">
            <w:pPr>
              <w:jc w:val="right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4364E5">
              <w:rPr>
                <w:rFonts w:ascii="Arial" w:hAnsi="Arial" w:cs="Arial"/>
                <w:sz w:val="22"/>
                <w:szCs w:val="22"/>
                <w:lang w:val="hu-HU" w:eastAsia="hu-HU"/>
              </w:rPr>
              <w:t>31.5%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06" w:rsidRPr="004364E5" w:rsidRDefault="002D2706" w:rsidP="00630D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33.8%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06" w:rsidRPr="004364E5" w:rsidRDefault="002D2706" w:rsidP="00630D8B">
            <w:pPr>
              <w:jc w:val="right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4364E5">
              <w:rPr>
                <w:rFonts w:ascii="Arial" w:hAnsi="Arial" w:cs="Arial"/>
                <w:sz w:val="22"/>
                <w:szCs w:val="22"/>
                <w:lang w:val="hu-HU" w:eastAsia="hu-HU"/>
              </w:rPr>
              <w:t>33.5%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06" w:rsidRPr="004364E5" w:rsidRDefault="002D2706" w:rsidP="00630D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106.1%</w:t>
            </w:r>
          </w:p>
        </w:tc>
      </w:tr>
      <w:tr w:rsidR="002D2706" w:rsidRPr="004364E5" w:rsidTr="00630D8B">
        <w:trPr>
          <w:trHeight w:val="52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706" w:rsidRPr="004364E5" w:rsidRDefault="002D2706" w:rsidP="00630D8B">
            <w:pPr>
              <w:rPr>
                <w:rFonts w:ascii="Arial" w:hAnsi="Arial" w:cs="Arial"/>
                <w:lang w:val="hu-HU" w:eastAsia="hu-HU"/>
              </w:rPr>
            </w:pPr>
            <w:proofErr w:type="spellStart"/>
            <w:r w:rsidRPr="004364E5">
              <w:rPr>
                <w:rFonts w:ascii="Arial" w:hAnsi="Arial" w:cs="Arial"/>
                <w:lang w:val="hu-HU" w:eastAsia="hu-HU"/>
              </w:rPr>
              <w:t>Czech</w:t>
            </w:r>
            <w:proofErr w:type="spellEnd"/>
            <w:r w:rsidRPr="004364E5">
              <w:rPr>
                <w:rFonts w:ascii="Arial" w:hAnsi="Arial" w:cs="Arial"/>
                <w:lang w:val="hu-HU" w:eastAsia="hu-HU"/>
              </w:rPr>
              <w:t xml:space="preserve"> </w:t>
            </w:r>
            <w:proofErr w:type="spellStart"/>
            <w:r w:rsidRPr="004364E5">
              <w:rPr>
                <w:rFonts w:ascii="Arial" w:hAnsi="Arial" w:cs="Arial"/>
                <w:lang w:val="hu-HU" w:eastAsia="hu-HU"/>
              </w:rPr>
              <w:t>Republic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06" w:rsidRPr="004364E5" w:rsidRDefault="002D2706" w:rsidP="00630D8B">
            <w:pPr>
              <w:jc w:val="right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4364E5">
              <w:rPr>
                <w:rFonts w:ascii="Arial" w:hAnsi="Arial" w:cs="Arial"/>
                <w:sz w:val="22"/>
                <w:szCs w:val="22"/>
                <w:lang w:val="hu-HU" w:eastAsia="hu-HU"/>
              </w:rPr>
              <w:t>30.6%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06" w:rsidRPr="004364E5" w:rsidRDefault="002D2706" w:rsidP="00630D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31.2%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06" w:rsidRPr="004364E5" w:rsidRDefault="002D2706" w:rsidP="00630D8B">
            <w:pPr>
              <w:jc w:val="right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4364E5">
              <w:rPr>
                <w:rFonts w:ascii="Arial" w:hAnsi="Arial" w:cs="Arial"/>
                <w:sz w:val="22"/>
                <w:szCs w:val="22"/>
                <w:lang w:val="hu-HU" w:eastAsia="hu-HU"/>
              </w:rPr>
              <w:t>30.5%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06" w:rsidRPr="004364E5" w:rsidRDefault="002D2706" w:rsidP="00630D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99.6%</w:t>
            </w:r>
          </w:p>
        </w:tc>
      </w:tr>
      <w:tr w:rsidR="002D2706" w:rsidRPr="004364E5" w:rsidTr="00630D8B">
        <w:trPr>
          <w:trHeight w:val="30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706" w:rsidRPr="004364E5" w:rsidRDefault="002D2706" w:rsidP="00630D8B">
            <w:pPr>
              <w:rPr>
                <w:rFonts w:ascii="Arial" w:hAnsi="Arial" w:cs="Arial"/>
                <w:b/>
                <w:bCs/>
                <w:color w:val="FF0000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bCs/>
                <w:color w:val="FF0000"/>
                <w:lang w:val="hu-HU" w:eastAsia="hu-HU"/>
              </w:rPr>
              <w:t>Hungary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06" w:rsidRPr="004364E5" w:rsidRDefault="002D2706" w:rsidP="00630D8B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hu-HU" w:eastAsia="hu-HU"/>
              </w:rPr>
              <w:t>34.4%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06" w:rsidRPr="004364E5" w:rsidRDefault="002D2706" w:rsidP="00630D8B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hu-HU" w:eastAsia="hu-HU"/>
              </w:rPr>
              <w:t>34.2%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06" w:rsidRPr="004364E5" w:rsidRDefault="002D2706" w:rsidP="00630D8B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hu-HU" w:eastAsia="hu-HU"/>
              </w:rPr>
              <w:t>33.6%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06" w:rsidRPr="004364E5" w:rsidRDefault="002D2706" w:rsidP="00630D8B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hu-HU" w:eastAsia="hu-HU"/>
              </w:rPr>
              <w:t>97.9%</w:t>
            </w:r>
          </w:p>
        </w:tc>
      </w:tr>
      <w:tr w:rsidR="002D2706" w:rsidRPr="004364E5" w:rsidTr="00630D8B">
        <w:trPr>
          <w:trHeight w:val="30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706" w:rsidRPr="004364E5" w:rsidRDefault="002D2706" w:rsidP="00630D8B">
            <w:pPr>
              <w:rPr>
                <w:rFonts w:ascii="Arial" w:hAnsi="Arial" w:cs="Arial"/>
                <w:lang w:val="hu-HU" w:eastAsia="hu-HU"/>
              </w:rPr>
            </w:pPr>
            <w:proofErr w:type="spellStart"/>
            <w:r w:rsidRPr="004364E5">
              <w:rPr>
                <w:rFonts w:ascii="Arial" w:hAnsi="Arial" w:cs="Arial"/>
                <w:lang w:val="hu-HU" w:eastAsia="hu-HU"/>
              </w:rPr>
              <w:t>Austria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06" w:rsidRPr="004364E5" w:rsidRDefault="002D2706" w:rsidP="00630D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38.9%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06" w:rsidRPr="004364E5" w:rsidRDefault="002D2706" w:rsidP="00630D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39.5%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06" w:rsidRPr="004364E5" w:rsidRDefault="002D2706" w:rsidP="00630D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39.7%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06" w:rsidRPr="004364E5" w:rsidRDefault="002D2706" w:rsidP="00630D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101.9%</w:t>
            </w:r>
          </w:p>
        </w:tc>
      </w:tr>
      <w:tr w:rsidR="002D2706" w:rsidRPr="004364E5" w:rsidTr="00630D8B">
        <w:trPr>
          <w:trHeight w:val="30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706" w:rsidRPr="004364E5" w:rsidRDefault="002D2706" w:rsidP="00630D8B">
            <w:pPr>
              <w:rPr>
                <w:rFonts w:ascii="Arial" w:hAnsi="Arial" w:cs="Arial"/>
                <w:lang w:val="hu-HU" w:eastAsia="hu-HU"/>
              </w:rPr>
            </w:pPr>
            <w:proofErr w:type="spellStart"/>
            <w:r w:rsidRPr="004364E5">
              <w:rPr>
                <w:rFonts w:ascii="Arial" w:hAnsi="Arial" w:cs="Arial"/>
                <w:lang w:val="hu-HU" w:eastAsia="hu-HU"/>
              </w:rPr>
              <w:t>Poland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06" w:rsidRPr="004364E5" w:rsidRDefault="002D2706" w:rsidP="00630D8B">
            <w:pPr>
              <w:jc w:val="right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4364E5">
              <w:rPr>
                <w:rFonts w:ascii="Arial" w:hAnsi="Arial" w:cs="Arial"/>
                <w:sz w:val="22"/>
                <w:szCs w:val="22"/>
                <w:lang w:val="hu-HU" w:eastAsia="hu-HU"/>
              </w:rPr>
              <w:t>32.0%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06" w:rsidRPr="004364E5" w:rsidRDefault="002D2706" w:rsidP="00630D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31.2%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06" w:rsidRPr="004364E5" w:rsidRDefault="002D2706" w:rsidP="00630D8B">
            <w:pPr>
              <w:jc w:val="right"/>
              <w:rPr>
                <w:rFonts w:ascii="Arial" w:hAnsi="Arial" w:cs="Arial"/>
                <w:sz w:val="22"/>
                <w:szCs w:val="22"/>
                <w:lang w:val="hu-HU" w:eastAsia="hu-HU"/>
              </w:rPr>
            </w:pPr>
            <w:r w:rsidRPr="004364E5">
              <w:rPr>
                <w:rFonts w:ascii="Arial" w:hAnsi="Arial" w:cs="Arial"/>
                <w:sz w:val="22"/>
                <w:szCs w:val="22"/>
                <w:lang w:val="hu-HU" w:eastAsia="hu-HU"/>
              </w:rPr>
              <w:t>31.4%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06" w:rsidRPr="004364E5" w:rsidRDefault="002D2706" w:rsidP="00630D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97.9%</w:t>
            </w:r>
          </w:p>
        </w:tc>
      </w:tr>
      <w:tr w:rsidR="002D2706" w:rsidRPr="004364E5" w:rsidTr="00630D8B">
        <w:trPr>
          <w:trHeight w:val="30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706" w:rsidRPr="004364E5" w:rsidRDefault="002D2706" w:rsidP="00630D8B">
            <w:pPr>
              <w:rPr>
                <w:rFonts w:ascii="Arial" w:hAnsi="Arial" w:cs="Arial"/>
                <w:lang w:val="hu-HU" w:eastAsia="hu-HU"/>
              </w:rPr>
            </w:pPr>
            <w:proofErr w:type="spellStart"/>
            <w:r w:rsidRPr="004364E5">
              <w:rPr>
                <w:rFonts w:ascii="Arial" w:hAnsi="Arial" w:cs="Arial"/>
                <w:lang w:val="hu-HU" w:eastAsia="hu-HU"/>
              </w:rPr>
              <w:t>Romania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06" w:rsidRPr="004364E5" w:rsidRDefault="002D2706" w:rsidP="00630D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29.4%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06" w:rsidRPr="004364E5" w:rsidRDefault="002D2706" w:rsidP="00630D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26.1%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06" w:rsidRPr="004364E5" w:rsidRDefault="002D2706" w:rsidP="00630D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25.8%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06" w:rsidRPr="004364E5" w:rsidRDefault="002D2706" w:rsidP="00630D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87.7%</w:t>
            </w:r>
          </w:p>
        </w:tc>
      </w:tr>
      <w:tr w:rsidR="002D2706" w:rsidRPr="004364E5" w:rsidTr="00630D8B">
        <w:trPr>
          <w:trHeight w:val="30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706" w:rsidRPr="004364E5" w:rsidRDefault="002D2706" w:rsidP="00630D8B">
            <w:pPr>
              <w:rPr>
                <w:rFonts w:ascii="Arial" w:hAnsi="Arial" w:cs="Arial"/>
                <w:lang w:val="hu-HU" w:eastAsia="hu-HU"/>
              </w:rPr>
            </w:pPr>
            <w:proofErr w:type="spellStart"/>
            <w:r w:rsidRPr="004364E5">
              <w:rPr>
                <w:rFonts w:ascii="Arial" w:hAnsi="Arial" w:cs="Arial"/>
                <w:lang w:val="hu-HU" w:eastAsia="hu-HU"/>
              </w:rPr>
              <w:t>Slovenia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06" w:rsidRPr="004364E5" w:rsidRDefault="002D2706" w:rsidP="00630D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45.1%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06" w:rsidRPr="004364E5" w:rsidRDefault="002D2706" w:rsidP="00630D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43.1%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06" w:rsidRPr="004364E5" w:rsidRDefault="002D2706" w:rsidP="00630D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42.3%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06" w:rsidRPr="004364E5" w:rsidRDefault="002D2706" w:rsidP="00630D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93.8%</w:t>
            </w:r>
          </w:p>
        </w:tc>
      </w:tr>
      <w:tr w:rsidR="002D2706" w:rsidRPr="004364E5" w:rsidTr="00630D8B">
        <w:trPr>
          <w:trHeight w:val="30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706" w:rsidRPr="004364E5" w:rsidRDefault="002D2706" w:rsidP="00630D8B">
            <w:pPr>
              <w:rPr>
                <w:rFonts w:ascii="Arial" w:hAnsi="Arial" w:cs="Arial"/>
                <w:lang w:val="hu-HU" w:eastAsia="hu-HU"/>
              </w:rPr>
            </w:pPr>
            <w:proofErr w:type="spellStart"/>
            <w:r w:rsidRPr="004364E5">
              <w:rPr>
                <w:rFonts w:ascii="Arial" w:hAnsi="Arial" w:cs="Arial"/>
                <w:lang w:val="hu-HU" w:eastAsia="hu-HU"/>
              </w:rPr>
              <w:t>Slovakia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06" w:rsidRPr="004364E5" w:rsidRDefault="002D2706" w:rsidP="00630D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28.6%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06" w:rsidRPr="004364E5" w:rsidRDefault="002D2706" w:rsidP="00630D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28.7%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06" w:rsidRPr="004364E5" w:rsidRDefault="002D2706" w:rsidP="00630D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29.0%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06" w:rsidRPr="004364E5" w:rsidRDefault="002D2706" w:rsidP="00630D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101.4%</w:t>
            </w:r>
          </w:p>
        </w:tc>
      </w:tr>
      <w:tr w:rsidR="002D2706" w:rsidRPr="004364E5" w:rsidTr="00630D8B">
        <w:trPr>
          <w:trHeight w:val="30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706" w:rsidRPr="004364E5" w:rsidRDefault="002D2706" w:rsidP="00630D8B">
            <w:pPr>
              <w:rPr>
                <w:rFonts w:ascii="Arial" w:hAnsi="Arial" w:cs="Arial"/>
                <w:lang w:val="hu-HU" w:eastAsia="hu-HU"/>
              </w:rPr>
            </w:pPr>
            <w:proofErr w:type="spellStart"/>
            <w:r w:rsidRPr="004364E5">
              <w:rPr>
                <w:rFonts w:ascii="Arial" w:hAnsi="Arial" w:cs="Arial"/>
                <w:lang w:val="hu-HU" w:eastAsia="hu-HU"/>
              </w:rPr>
              <w:t>Finland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06" w:rsidRPr="004364E5" w:rsidRDefault="002D2706" w:rsidP="00630D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40.2%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06" w:rsidRPr="004364E5" w:rsidRDefault="002D2706" w:rsidP="00630D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40.4%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06" w:rsidRPr="004364E5" w:rsidRDefault="002D2706" w:rsidP="00630D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40.1%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06" w:rsidRPr="004364E5" w:rsidRDefault="002D2706" w:rsidP="00630D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99.8%</w:t>
            </w:r>
          </w:p>
        </w:tc>
      </w:tr>
      <w:tr w:rsidR="002D2706" w:rsidRPr="004364E5" w:rsidTr="00630D8B">
        <w:trPr>
          <w:trHeight w:val="31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706" w:rsidRPr="004364E5" w:rsidRDefault="002D2706" w:rsidP="00630D8B">
            <w:pPr>
              <w:rPr>
                <w:rFonts w:ascii="Arial" w:hAnsi="Arial" w:cs="Arial"/>
                <w:lang w:val="hu-HU" w:eastAsia="hu-HU"/>
              </w:rPr>
            </w:pPr>
            <w:proofErr w:type="spellStart"/>
            <w:r w:rsidRPr="004364E5">
              <w:rPr>
                <w:rFonts w:ascii="Arial" w:hAnsi="Arial" w:cs="Arial"/>
                <w:lang w:val="hu-HU" w:eastAsia="hu-HU"/>
              </w:rPr>
              <w:t>Sweden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06" w:rsidRPr="004364E5" w:rsidRDefault="002D2706" w:rsidP="00630D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38.3%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06" w:rsidRPr="004364E5" w:rsidRDefault="002D2706" w:rsidP="00630D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40.2%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06" w:rsidRPr="004364E5" w:rsidRDefault="002D2706" w:rsidP="00630D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40.1%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06" w:rsidRPr="004364E5" w:rsidRDefault="002D2706" w:rsidP="00630D8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bCs/>
                <w:sz w:val="22"/>
                <w:szCs w:val="22"/>
                <w:lang w:val="hu-HU" w:eastAsia="hu-HU"/>
              </w:rPr>
              <w:t>104.8%</w:t>
            </w:r>
          </w:p>
        </w:tc>
      </w:tr>
    </w:tbl>
    <w:p w:rsidR="002D2706" w:rsidRPr="004364E5" w:rsidRDefault="002D2706" w:rsidP="002D2706">
      <w:pPr>
        <w:spacing w:line="276" w:lineRule="auto"/>
        <w:rPr>
          <w:rFonts w:asciiTheme="minorHAnsi" w:hAnsiTheme="minorHAnsi"/>
          <w:b/>
          <w:noProof/>
          <w:sz w:val="24"/>
          <w:szCs w:val="24"/>
          <w:lang w:val="hu-HU" w:eastAsia="hu-HU"/>
        </w:rPr>
      </w:pPr>
      <w:r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>Forrás: Eurostat</w:t>
      </w:r>
    </w:p>
    <w:p w:rsidR="00A445CA" w:rsidRPr="004364E5" w:rsidRDefault="00572A18" w:rsidP="009E78ED">
      <w:pPr>
        <w:pStyle w:val="Listaszerbekezds"/>
        <w:numPr>
          <w:ilvl w:val="0"/>
          <w:numId w:val="3"/>
        </w:numPr>
        <w:spacing w:line="276" w:lineRule="auto"/>
        <w:rPr>
          <w:rFonts w:asciiTheme="minorHAnsi" w:eastAsia="Calibri" w:hAnsiTheme="minorHAnsi"/>
          <w:b/>
          <w:sz w:val="24"/>
          <w:szCs w:val="24"/>
        </w:rPr>
      </w:pPr>
      <w:r w:rsidRPr="004364E5">
        <w:rPr>
          <w:rFonts w:asciiTheme="minorHAnsi" w:eastAsia="Calibri" w:hAnsiTheme="minorHAnsi"/>
          <w:b/>
          <w:sz w:val="24"/>
          <w:szCs w:val="24"/>
        </w:rPr>
        <w:t xml:space="preserve">A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minimálbér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emelés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023283" w:rsidRPr="004364E5">
        <w:rPr>
          <w:rFonts w:asciiTheme="minorHAnsi" w:eastAsia="Calibri" w:hAnsiTheme="minorHAnsi"/>
          <w:b/>
          <w:sz w:val="24"/>
          <w:szCs w:val="24"/>
        </w:rPr>
        <w:t>költsége</w:t>
      </w:r>
      <w:proofErr w:type="spellEnd"/>
      <w:r w:rsidR="00023283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023283" w:rsidRPr="004364E5">
        <w:rPr>
          <w:rFonts w:asciiTheme="minorHAnsi" w:eastAsia="Calibri" w:hAnsiTheme="minorHAnsi"/>
          <w:b/>
          <w:sz w:val="24"/>
          <w:szCs w:val="24"/>
        </w:rPr>
        <w:t>és</w:t>
      </w:r>
      <w:proofErr w:type="spellEnd"/>
      <w:r w:rsidR="00023283" w:rsidRPr="004364E5">
        <w:rPr>
          <w:rFonts w:asciiTheme="minorHAnsi" w:eastAsia="Calibri" w:hAnsiTheme="minorHAnsi"/>
          <w:b/>
          <w:sz w:val="24"/>
          <w:szCs w:val="24"/>
        </w:rPr>
        <w:t xml:space="preserve"> a </w:t>
      </w:r>
      <w:proofErr w:type="spellStart"/>
      <w:r w:rsidR="00023283" w:rsidRPr="004364E5">
        <w:rPr>
          <w:rFonts w:asciiTheme="minorHAnsi" w:eastAsia="Calibri" w:hAnsiTheme="minorHAnsi"/>
          <w:b/>
          <w:sz w:val="24"/>
          <w:szCs w:val="24"/>
        </w:rPr>
        <w:t>hozzadott</w:t>
      </w:r>
      <w:proofErr w:type="spellEnd"/>
      <w:r w:rsidR="00023283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023283" w:rsidRPr="004364E5">
        <w:rPr>
          <w:rFonts w:asciiTheme="minorHAnsi" w:eastAsia="Calibri" w:hAnsiTheme="minorHAnsi"/>
          <w:b/>
          <w:sz w:val="24"/>
          <w:szCs w:val="24"/>
        </w:rPr>
        <w:t>érték</w:t>
      </w:r>
      <w:proofErr w:type="spellEnd"/>
      <w:r w:rsidR="00A445CA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r w:rsidR="00023283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</w:p>
    <w:p w:rsidR="00572A18" w:rsidRPr="004364E5" w:rsidRDefault="00572A18" w:rsidP="00A445CA">
      <w:pPr>
        <w:pStyle w:val="Listaszerbekezds"/>
        <w:spacing w:line="276" w:lineRule="auto"/>
        <w:rPr>
          <w:rFonts w:asciiTheme="minorHAnsi" w:eastAsia="Calibri" w:hAnsiTheme="minorHAnsi"/>
          <w:b/>
          <w:sz w:val="24"/>
          <w:szCs w:val="24"/>
        </w:rPr>
      </w:pPr>
      <w:r w:rsidRPr="004364E5">
        <w:rPr>
          <w:rFonts w:asciiTheme="minorHAnsi" w:eastAsia="Calibri" w:hAnsiTheme="minorHAnsi"/>
          <w:b/>
          <w:sz w:val="24"/>
          <w:szCs w:val="24"/>
        </w:rPr>
        <w:t xml:space="preserve">2011-2014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között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a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bérköltség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proofErr w:type="gramStart"/>
      <w:r w:rsidRPr="004364E5">
        <w:rPr>
          <w:rFonts w:asciiTheme="minorHAnsi" w:eastAsia="Calibri" w:hAnsiTheme="minorHAnsi"/>
          <w:b/>
          <w:sz w:val="24"/>
          <w:szCs w:val="24"/>
        </w:rPr>
        <w:t>arány</w:t>
      </w:r>
      <w:proofErr w:type="spellEnd"/>
      <w:r w:rsidR="00E75C66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az</w:t>
      </w:r>
      <w:proofErr w:type="spellEnd"/>
      <w:proofErr w:type="gram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ágazati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hozzáadott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értéken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belül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folyamatosan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csökkent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. </w:t>
      </w:r>
      <w:r w:rsidR="00DB34B5" w:rsidRPr="004364E5">
        <w:rPr>
          <w:rFonts w:asciiTheme="minorHAnsi" w:eastAsia="Calibri" w:hAnsiTheme="minorHAnsi"/>
          <w:b/>
          <w:sz w:val="24"/>
          <w:szCs w:val="24"/>
        </w:rPr>
        <w:t xml:space="preserve">Ha  a </w:t>
      </w:r>
      <w:proofErr w:type="spellStart"/>
      <w:r w:rsidR="00DB34B5" w:rsidRPr="004364E5">
        <w:rPr>
          <w:rFonts w:asciiTheme="minorHAnsi" w:eastAsia="Calibri" w:hAnsiTheme="minorHAnsi"/>
          <w:b/>
          <w:sz w:val="24"/>
          <w:szCs w:val="24"/>
        </w:rPr>
        <w:t>MOSZ</w:t>
      </w:r>
      <w:proofErr w:type="spellEnd"/>
      <w:r w:rsidR="00DB34B5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DB34B5" w:rsidRPr="004364E5">
        <w:rPr>
          <w:rFonts w:asciiTheme="minorHAnsi" w:eastAsia="Calibri" w:hAnsiTheme="minorHAnsi"/>
          <w:b/>
          <w:sz w:val="24"/>
          <w:szCs w:val="24"/>
        </w:rPr>
        <w:t>által</w:t>
      </w:r>
      <w:proofErr w:type="spellEnd"/>
      <w:r w:rsidR="00DB34B5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DB34B5" w:rsidRPr="004364E5">
        <w:rPr>
          <w:rFonts w:asciiTheme="minorHAnsi" w:eastAsia="Calibri" w:hAnsiTheme="minorHAnsi"/>
          <w:b/>
          <w:sz w:val="24"/>
          <w:szCs w:val="24"/>
        </w:rPr>
        <w:t>javasolt</w:t>
      </w:r>
      <w:proofErr w:type="spellEnd"/>
      <w:r w:rsidR="00DB34B5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DB34B5" w:rsidRPr="004364E5">
        <w:rPr>
          <w:rFonts w:asciiTheme="minorHAnsi" w:eastAsia="Calibri" w:hAnsiTheme="minorHAnsi"/>
          <w:b/>
          <w:sz w:val="24"/>
          <w:szCs w:val="24"/>
        </w:rPr>
        <w:t>minimálbér</w:t>
      </w:r>
      <w:proofErr w:type="spellEnd"/>
      <w:r w:rsidR="00DB34B5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DB34B5" w:rsidRPr="004364E5">
        <w:rPr>
          <w:rFonts w:asciiTheme="minorHAnsi" w:eastAsia="Calibri" w:hAnsiTheme="minorHAnsi"/>
          <w:b/>
          <w:sz w:val="24"/>
          <w:szCs w:val="24"/>
        </w:rPr>
        <w:t>emelések</w:t>
      </w:r>
      <w:proofErr w:type="spellEnd"/>
      <w:r w:rsidR="00DB34B5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DB34B5" w:rsidRPr="004364E5">
        <w:rPr>
          <w:rFonts w:asciiTheme="minorHAnsi" w:eastAsia="Calibri" w:hAnsiTheme="minorHAnsi"/>
          <w:b/>
          <w:sz w:val="24"/>
          <w:szCs w:val="24"/>
        </w:rPr>
        <w:t>hatását</w:t>
      </w:r>
      <w:proofErr w:type="spellEnd"/>
      <w:r w:rsidR="00DB34B5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DB34B5" w:rsidRPr="004364E5">
        <w:rPr>
          <w:rFonts w:asciiTheme="minorHAnsi" w:eastAsia="Calibri" w:hAnsiTheme="minorHAnsi"/>
          <w:b/>
          <w:sz w:val="24"/>
          <w:szCs w:val="24"/>
        </w:rPr>
        <w:t>tekintetbe</w:t>
      </w:r>
      <w:proofErr w:type="spellEnd"/>
      <w:r w:rsidR="00DB34B5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DB34B5" w:rsidRPr="004364E5">
        <w:rPr>
          <w:rFonts w:asciiTheme="minorHAnsi" w:eastAsia="Calibri" w:hAnsiTheme="minorHAnsi"/>
          <w:b/>
          <w:sz w:val="24"/>
          <w:szCs w:val="24"/>
        </w:rPr>
        <w:t>vesszük</w:t>
      </w:r>
      <w:proofErr w:type="spellEnd"/>
      <w:r w:rsidR="00DB34B5" w:rsidRPr="004364E5">
        <w:rPr>
          <w:rFonts w:asciiTheme="minorHAnsi" w:eastAsia="Calibri" w:hAnsiTheme="minorHAnsi"/>
          <w:b/>
          <w:sz w:val="24"/>
          <w:szCs w:val="24"/>
        </w:rPr>
        <w:t xml:space="preserve">, </w:t>
      </w:r>
      <w:proofErr w:type="spellStart"/>
      <w:r w:rsidR="00DB34B5" w:rsidRPr="004364E5">
        <w:rPr>
          <w:rFonts w:asciiTheme="minorHAnsi" w:eastAsia="Calibri" w:hAnsiTheme="minorHAnsi"/>
          <w:b/>
          <w:sz w:val="24"/>
          <w:szCs w:val="24"/>
        </w:rPr>
        <w:t>akkor</w:t>
      </w:r>
      <w:proofErr w:type="spellEnd"/>
      <w:r w:rsidR="00DB34B5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r w:rsidR="00DB34B5" w:rsidRPr="004364E5">
        <w:rPr>
          <w:rFonts w:asciiTheme="minorHAnsi" w:eastAsia="Calibri" w:hAnsiTheme="minorHAnsi"/>
          <w:b/>
          <w:sz w:val="24"/>
          <w:szCs w:val="24"/>
          <w:u w:val="single"/>
        </w:rPr>
        <w:t>2014-ben</w:t>
      </w:r>
      <w:r w:rsidR="00DB34B5" w:rsidRPr="004364E5">
        <w:rPr>
          <w:rFonts w:asciiTheme="minorHAnsi" w:eastAsia="Calibri" w:hAnsiTheme="minorHAnsi"/>
          <w:b/>
          <w:sz w:val="24"/>
          <w:szCs w:val="24"/>
        </w:rPr>
        <w:t xml:space="preserve">  (</w:t>
      </w:r>
      <w:proofErr w:type="spellStart"/>
      <w:r w:rsidR="00DB34B5" w:rsidRPr="004364E5">
        <w:rPr>
          <w:rFonts w:asciiTheme="minorHAnsi" w:eastAsia="Calibri" w:hAnsiTheme="minorHAnsi"/>
          <w:b/>
          <w:sz w:val="24"/>
          <w:szCs w:val="24"/>
        </w:rPr>
        <w:t>amikorra</w:t>
      </w:r>
      <w:proofErr w:type="spellEnd"/>
      <w:r w:rsidR="00DB34B5" w:rsidRPr="004364E5">
        <w:rPr>
          <w:rFonts w:asciiTheme="minorHAnsi" w:eastAsia="Calibri" w:hAnsiTheme="minorHAnsi"/>
          <w:b/>
          <w:sz w:val="24"/>
          <w:szCs w:val="24"/>
        </w:rPr>
        <w:t xml:space="preserve"> a </w:t>
      </w:r>
      <w:proofErr w:type="spellStart"/>
      <w:r w:rsidR="00DB34B5" w:rsidRPr="004364E5">
        <w:rPr>
          <w:rFonts w:asciiTheme="minorHAnsi" w:eastAsia="Calibri" w:hAnsiTheme="minorHAnsi"/>
          <w:b/>
          <w:sz w:val="24"/>
          <w:szCs w:val="24"/>
        </w:rPr>
        <w:t>legutolsó</w:t>
      </w:r>
      <w:proofErr w:type="spellEnd"/>
      <w:r w:rsidR="00DB34B5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DB34B5" w:rsidRPr="004364E5">
        <w:rPr>
          <w:rFonts w:asciiTheme="minorHAnsi" w:eastAsia="Calibri" w:hAnsiTheme="minorHAnsi"/>
          <w:b/>
          <w:sz w:val="24"/>
          <w:szCs w:val="24"/>
        </w:rPr>
        <w:t>hozzáadott</w:t>
      </w:r>
      <w:proofErr w:type="spellEnd"/>
      <w:r w:rsidR="00DB34B5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DB34B5" w:rsidRPr="004364E5">
        <w:rPr>
          <w:rFonts w:asciiTheme="minorHAnsi" w:eastAsia="Calibri" w:hAnsiTheme="minorHAnsi"/>
          <w:b/>
          <w:sz w:val="24"/>
          <w:szCs w:val="24"/>
        </w:rPr>
        <w:t>érték</w:t>
      </w:r>
      <w:proofErr w:type="spellEnd"/>
      <w:r w:rsidR="00DB34B5" w:rsidRPr="004364E5">
        <w:rPr>
          <w:rFonts w:asciiTheme="minorHAnsi" w:eastAsia="Calibri" w:hAnsiTheme="minorHAnsi"/>
          <w:b/>
          <w:sz w:val="24"/>
          <w:szCs w:val="24"/>
        </w:rPr>
        <w:t xml:space="preserve">  </w:t>
      </w:r>
      <w:proofErr w:type="spellStart"/>
      <w:r w:rsidR="00DB34B5" w:rsidRPr="004364E5">
        <w:rPr>
          <w:rFonts w:asciiTheme="minorHAnsi" w:eastAsia="Calibri" w:hAnsiTheme="minorHAnsi"/>
          <w:b/>
          <w:sz w:val="24"/>
          <w:szCs w:val="24"/>
        </w:rPr>
        <w:t>adat</w:t>
      </w:r>
      <w:proofErr w:type="spellEnd"/>
      <w:r w:rsidR="00DB34B5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DB34B5" w:rsidRPr="004364E5">
        <w:rPr>
          <w:rFonts w:asciiTheme="minorHAnsi" w:eastAsia="Calibri" w:hAnsiTheme="minorHAnsi"/>
          <w:b/>
          <w:sz w:val="24"/>
          <w:szCs w:val="24"/>
        </w:rPr>
        <w:t>rendelkezésre</w:t>
      </w:r>
      <w:proofErr w:type="spellEnd"/>
      <w:r w:rsidR="00DB34B5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DB34B5" w:rsidRPr="004364E5">
        <w:rPr>
          <w:rFonts w:asciiTheme="minorHAnsi" w:eastAsia="Calibri" w:hAnsiTheme="minorHAnsi"/>
          <w:b/>
          <w:sz w:val="24"/>
          <w:szCs w:val="24"/>
        </w:rPr>
        <w:t>áll</w:t>
      </w:r>
      <w:proofErr w:type="spellEnd"/>
      <w:r w:rsidR="00DB34B5" w:rsidRPr="004364E5">
        <w:rPr>
          <w:rFonts w:asciiTheme="minorHAnsi" w:eastAsia="Calibri" w:hAnsiTheme="minorHAnsi"/>
          <w:b/>
          <w:sz w:val="24"/>
          <w:szCs w:val="24"/>
        </w:rPr>
        <w:t xml:space="preserve">)  </w:t>
      </w:r>
      <w:proofErr w:type="spellStart"/>
      <w:r w:rsidR="00DB34B5" w:rsidRPr="004364E5">
        <w:rPr>
          <w:rFonts w:asciiTheme="minorHAnsi" w:eastAsia="Calibri" w:hAnsiTheme="minorHAnsi"/>
          <w:b/>
          <w:sz w:val="24"/>
          <w:szCs w:val="24"/>
        </w:rPr>
        <w:t>még</w:t>
      </w:r>
      <w:proofErr w:type="spellEnd"/>
      <w:r w:rsidR="00DB34B5" w:rsidRPr="004364E5">
        <w:rPr>
          <w:rFonts w:asciiTheme="minorHAnsi" w:eastAsia="Calibri" w:hAnsiTheme="minorHAnsi"/>
          <w:b/>
          <w:sz w:val="24"/>
          <w:szCs w:val="24"/>
        </w:rPr>
        <w:t xml:space="preserve"> a  </w:t>
      </w:r>
      <w:proofErr w:type="spellStart"/>
      <w:r w:rsidR="000C64A2" w:rsidRPr="004364E5">
        <w:rPr>
          <w:rFonts w:asciiTheme="minorHAnsi" w:eastAsia="Calibri" w:hAnsiTheme="minorHAnsi"/>
          <w:b/>
          <w:sz w:val="24"/>
          <w:szCs w:val="24"/>
        </w:rPr>
        <w:t>minimálbéres</w:t>
      </w:r>
      <w:proofErr w:type="spellEnd"/>
      <w:r w:rsidR="000C64A2" w:rsidRPr="004364E5">
        <w:rPr>
          <w:rFonts w:asciiTheme="minorHAnsi" w:eastAsia="Calibri" w:hAnsiTheme="minorHAnsi"/>
          <w:b/>
          <w:sz w:val="24"/>
          <w:szCs w:val="24"/>
        </w:rPr>
        <w:t xml:space="preserve">  </w:t>
      </w:r>
      <w:proofErr w:type="spellStart"/>
      <w:r w:rsidR="000C64A2" w:rsidRPr="004364E5">
        <w:rPr>
          <w:rFonts w:asciiTheme="minorHAnsi" w:eastAsia="Calibri" w:hAnsiTheme="minorHAnsi"/>
          <w:b/>
          <w:sz w:val="24"/>
          <w:szCs w:val="24"/>
        </w:rPr>
        <w:t>foglalkoztatás</w:t>
      </w:r>
      <w:proofErr w:type="spellEnd"/>
      <w:r w:rsidR="000C64A2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0C64A2" w:rsidRPr="004364E5">
        <w:rPr>
          <w:rFonts w:asciiTheme="minorHAnsi" w:eastAsia="Calibri" w:hAnsiTheme="minorHAnsi"/>
          <w:b/>
          <w:sz w:val="24"/>
          <w:szCs w:val="24"/>
        </w:rPr>
        <w:t>által</w:t>
      </w:r>
      <w:proofErr w:type="spellEnd"/>
      <w:r w:rsidR="000C64A2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0C64A2" w:rsidRPr="004364E5">
        <w:rPr>
          <w:rFonts w:asciiTheme="minorHAnsi" w:eastAsia="Calibri" w:hAnsiTheme="minorHAnsi"/>
          <w:b/>
          <w:sz w:val="24"/>
          <w:szCs w:val="24"/>
        </w:rPr>
        <w:t>leginkább</w:t>
      </w:r>
      <w:proofErr w:type="spellEnd"/>
      <w:r w:rsidR="000C64A2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0C64A2" w:rsidRPr="004364E5">
        <w:rPr>
          <w:rFonts w:asciiTheme="minorHAnsi" w:eastAsia="Calibri" w:hAnsiTheme="minorHAnsi"/>
          <w:b/>
          <w:sz w:val="24"/>
          <w:szCs w:val="24"/>
        </w:rPr>
        <w:t>érintett</w:t>
      </w:r>
      <w:proofErr w:type="spellEnd"/>
      <w:r w:rsidR="000C64A2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0C64A2" w:rsidRPr="004364E5">
        <w:rPr>
          <w:rFonts w:asciiTheme="minorHAnsi" w:eastAsia="Calibri" w:hAnsiTheme="minorHAnsi"/>
          <w:b/>
          <w:sz w:val="24"/>
          <w:szCs w:val="24"/>
        </w:rPr>
        <w:t>ágazatok</w:t>
      </w:r>
      <w:proofErr w:type="spellEnd"/>
      <w:r w:rsidR="000C64A2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0C64A2" w:rsidRPr="004364E5">
        <w:rPr>
          <w:rFonts w:asciiTheme="minorHAnsi" w:eastAsia="Calibri" w:hAnsiTheme="minorHAnsi"/>
          <w:b/>
          <w:sz w:val="24"/>
          <w:szCs w:val="24"/>
        </w:rPr>
        <w:t>többségében</w:t>
      </w:r>
      <w:proofErr w:type="spellEnd"/>
      <w:r w:rsidR="000C64A2" w:rsidRPr="004364E5">
        <w:rPr>
          <w:rFonts w:asciiTheme="minorHAnsi" w:eastAsia="Calibri" w:hAnsiTheme="minorHAnsi"/>
          <w:b/>
          <w:sz w:val="24"/>
          <w:szCs w:val="24"/>
        </w:rPr>
        <w:t xml:space="preserve">  </w:t>
      </w:r>
      <w:r w:rsidRPr="004364E5">
        <w:rPr>
          <w:rFonts w:asciiTheme="minorHAnsi" w:eastAsia="Calibri" w:hAnsiTheme="minorHAnsi"/>
          <w:b/>
          <w:sz w:val="24"/>
          <w:szCs w:val="24"/>
        </w:rPr>
        <w:t xml:space="preserve">  </w:t>
      </w:r>
      <w:proofErr w:type="spellStart"/>
      <w:r w:rsidR="00E75C66" w:rsidRPr="004364E5">
        <w:rPr>
          <w:rFonts w:asciiTheme="minorHAnsi" w:eastAsia="Calibri" w:hAnsiTheme="minorHAnsi"/>
          <w:b/>
          <w:sz w:val="24"/>
          <w:szCs w:val="24"/>
        </w:rPr>
        <w:t>sem</w:t>
      </w:r>
      <w:proofErr w:type="spellEnd"/>
      <w:r w:rsidR="00E75C66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0C64A2" w:rsidRPr="004364E5">
        <w:rPr>
          <w:rFonts w:asciiTheme="minorHAnsi" w:eastAsia="Calibri" w:hAnsiTheme="minorHAnsi"/>
          <w:b/>
          <w:sz w:val="24"/>
          <w:szCs w:val="24"/>
        </w:rPr>
        <w:t>halad</w:t>
      </w:r>
      <w:r w:rsidR="005F52D4" w:rsidRPr="004364E5">
        <w:rPr>
          <w:rFonts w:asciiTheme="minorHAnsi" w:eastAsia="Calibri" w:hAnsiTheme="minorHAnsi"/>
          <w:b/>
          <w:sz w:val="24"/>
          <w:szCs w:val="24"/>
        </w:rPr>
        <w:t>ta</w:t>
      </w:r>
      <w:proofErr w:type="spellEnd"/>
      <w:r w:rsidR="005F52D4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5F52D4" w:rsidRPr="004364E5">
        <w:rPr>
          <w:rFonts w:asciiTheme="minorHAnsi" w:eastAsia="Calibri" w:hAnsiTheme="minorHAnsi"/>
          <w:b/>
          <w:sz w:val="24"/>
          <w:szCs w:val="24"/>
        </w:rPr>
        <w:t>volna</w:t>
      </w:r>
      <w:proofErr w:type="spellEnd"/>
      <w:r w:rsidR="00564562" w:rsidRPr="004364E5">
        <w:rPr>
          <w:rFonts w:asciiTheme="minorHAnsi" w:eastAsia="Calibri" w:hAnsiTheme="minorHAnsi"/>
          <w:b/>
          <w:sz w:val="24"/>
          <w:szCs w:val="24"/>
        </w:rPr>
        <w:t xml:space="preserve"> meg a </w:t>
      </w:r>
      <w:proofErr w:type="spellStart"/>
      <w:r w:rsidR="00564562" w:rsidRPr="004364E5">
        <w:rPr>
          <w:rFonts w:asciiTheme="minorHAnsi" w:eastAsia="Calibri" w:hAnsiTheme="minorHAnsi"/>
          <w:b/>
          <w:sz w:val="24"/>
          <w:szCs w:val="24"/>
        </w:rPr>
        <w:t>bérköltség</w:t>
      </w:r>
      <w:proofErr w:type="spellEnd"/>
      <w:r w:rsidR="00564562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564562" w:rsidRPr="004364E5">
        <w:rPr>
          <w:rFonts w:asciiTheme="minorHAnsi" w:eastAsia="Calibri" w:hAnsiTheme="minorHAnsi"/>
          <w:b/>
          <w:sz w:val="24"/>
          <w:szCs w:val="24"/>
        </w:rPr>
        <w:t>arány</w:t>
      </w:r>
      <w:proofErr w:type="spellEnd"/>
      <w:r w:rsidR="00564562" w:rsidRPr="004364E5">
        <w:rPr>
          <w:rFonts w:asciiTheme="minorHAnsi" w:eastAsia="Calibri" w:hAnsiTheme="minorHAnsi"/>
          <w:b/>
          <w:sz w:val="24"/>
          <w:szCs w:val="24"/>
        </w:rPr>
        <w:t xml:space="preserve">  </w:t>
      </w:r>
      <w:proofErr w:type="spellStart"/>
      <w:r w:rsidR="00E75C66" w:rsidRPr="004364E5">
        <w:rPr>
          <w:rFonts w:asciiTheme="minorHAnsi" w:eastAsia="Calibri" w:hAnsiTheme="minorHAnsi"/>
          <w:b/>
          <w:sz w:val="24"/>
          <w:szCs w:val="24"/>
        </w:rPr>
        <w:t>az</w:t>
      </w:r>
      <w:proofErr w:type="spellEnd"/>
      <w:r w:rsidR="00E75C66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E75C66" w:rsidRPr="004364E5">
        <w:rPr>
          <w:rFonts w:asciiTheme="minorHAnsi" w:eastAsia="Calibri" w:hAnsiTheme="minorHAnsi"/>
          <w:b/>
          <w:sz w:val="24"/>
          <w:szCs w:val="24"/>
        </w:rPr>
        <w:t>ágazati</w:t>
      </w:r>
      <w:proofErr w:type="spellEnd"/>
      <w:r w:rsidR="00E75C66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E75C66" w:rsidRPr="004364E5">
        <w:rPr>
          <w:rFonts w:asciiTheme="minorHAnsi" w:eastAsia="Calibri" w:hAnsiTheme="minorHAnsi"/>
          <w:b/>
          <w:sz w:val="24"/>
          <w:szCs w:val="24"/>
        </w:rPr>
        <w:t>hozzáadott</w:t>
      </w:r>
      <w:proofErr w:type="spellEnd"/>
      <w:r w:rsidR="00E75C66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E75C66" w:rsidRPr="004364E5">
        <w:rPr>
          <w:rFonts w:asciiTheme="minorHAnsi" w:eastAsia="Calibri" w:hAnsiTheme="minorHAnsi"/>
          <w:b/>
          <w:sz w:val="24"/>
          <w:szCs w:val="24"/>
        </w:rPr>
        <w:t>értékhez</w:t>
      </w:r>
      <w:proofErr w:type="spellEnd"/>
      <w:r w:rsidR="00E75C66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E75C66" w:rsidRPr="004364E5">
        <w:rPr>
          <w:rFonts w:asciiTheme="minorHAnsi" w:eastAsia="Calibri" w:hAnsiTheme="minorHAnsi"/>
          <w:b/>
          <w:sz w:val="24"/>
          <w:szCs w:val="24"/>
        </w:rPr>
        <w:t>viszonyítva</w:t>
      </w:r>
      <w:proofErr w:type="spellEnd"/>
      <w:r w:rsidR="00564562" w:rsidRPr="004364E5">
        <w:rPr>
          <w:rFonts w:asciiTheme="minorHAnsi" w:eastAsia="Calibri" w:hAnsiTheme="minorHAnsi"/>
          <w:b/>
          <w:sz w:val="24"/>
          <w:szCs w:val="24"/>
        </w:rPr>
        <w:t xml:space="preserve"> a 2011-es </w:t>
      </w:r>
      <w:proofErr w:type="spellStart"/>
      <w:r w:rsidR="00564562" w:rsidRPr="004364E5">
        <w:rPr>
          <w:rFonts w:asciiTheme="minorHAnsi" w:eastAsia="Calibri" w:hAnsiTheme="minorHAnsi"/>
          <w:b/>
          <w:sz w:val="24"/>
          <w:szCs w:val="24"/>
        </w:rPr>
        <w:t>mértéket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.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Kivétel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a</w:t>
      </w:r>
      <w:r w:rsidR="00023283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023283" w:rsidRPr="004364E5">
        <w:rPr>
          <w:rFonts w:asciiTheme="minorHAnsi" w:eastAsia="Calibri" w:hAnsiTheme="minorHAnsi"/>
          <w:b/>
          <w:sz w:val="24"/>
          <w:szCs w:val="24"/>
        </w:rPr>
        <w:t>mezőgazdaság</w:t>
      </w:r>
      <w:proofErr w:type="spellEnd"/>
      <w:r w:rsidR="00023283" w:rsidRPr="004364E5">
        <w:rPr>
          <w:rFonts w:asciiTheme="minorHAnsi" w:eastAsia="Calibri" w:hAnsiTheme="minorHAnsi"/>
          <w:b/>
          <w:sz w:val="24"/>
          <w:szCs w:val="24"/>
        </w:rPr>
        <w:t xml:space="preserve">, </w:t>
      </w:r>
      <w:proofErr w:type="spellStart"/>
      <w:r w:rsidR="00023283" w:rsidRPr="004364E5">
        <w:rPr>
          <w:rFonts w:asciiTheme="minorHAnsi" w:eastAsia="Calibri" w:hAnsiTheme="minorHAnsi"/>
          <w:b/>
          <w:sz w:val="24"/>
          <w:szCs w:val="24"/>
        </w:rPr>
        <w:t>ahol</w:t>
      </w:r>
      <w:proofErr w:type="spellEnd"/>
      <w:r w:rsidR="00023283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023283" w:rsidRPr="004364E5">
        <w:rPr>
          <w:rFonts w:asciiTheme="minorHAnsi" w:eastAsia="Calibri" w:hAnsiTheme="minorHAnsi"/>
          <w:b/>
          <w:sz w:val="24"/>
          <w:szCs w:val="24"/>
        </w:rPr>
        <w:t>viszont</w:t>
      </w:r>
      <w:proofErr w:type="spellEnd"/>
      <w:r w:rsidR="00023283" w:rsidRPr="004364E5">
        <w:rPr>
          <w:rFonts w:asciiTheme="minorHAnsi" w:eastAsia="Calibri" w:hAnsiTheme="minorHAnsi"/>
          <w:b/>
          <w:sz w:val="24"/>
          <w:szCs w:val="24"/>
        </w:rPr>
        <w:t xml:space="preserve"> a </w:t>
      </w:r>
      <w:proofErr w:type="spellStart"/>
      <w:r w:rsidR="00023283" w:rsidRPr="004364E5">
        <w:rPr>
          <w:rFonts w:asciiTheme="minorHAnsi" w:eastAsia="Calibri" w:hAnsiTheme="minorHAnsi"/>
          <w:b/>
          <w:sz w:val="24"/>
          <w:szCs w:val="24"/>
        </w:rPr>
        <w:t>bérköltség</w:t>
      </w:r>
      <w:proofErr w:type="spellEnd"/>
      <w:r w:rsidR="00023283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023283" w:rsidRPr="004364E5">
        <w:rPr>
          <w:rFonts w:asciiTheme="minorHAnsi" w:eastAsia="Calibri" w:hAnsiTheme="minorHAnsi"/>
          <w:b/>
          <w:sz w:val="24"/>
          <w:szCs w:val="24"/>
        </w:rPr>
        <w:t>arány</w:t>
      </w:r>
      <w:proofErr w:type="spellEnd"/>
      <w:r w:rsidR="00023283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023283" w:rsidRPr="004364E5">
        <w:rPr>
          <w:rFonts w:asciiTheme="minorHAnsi" w:eastAsia="Calibri" w:hAnsiTheme="minorHAnsi"/>
          <w:b/>
          <w:sz w:val="24"/>
          <w:szCs w:val="24"/>
        </w:rPr>
        <w:t>az</w:t>
      </w:r>
      <w:proofErr w:type="spellEnd"/>
      <w:r w:rsidR="00023283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023283" w:rsidRPr="004364E5">
        <w:rPr>
          <w:rFonts w:asciiTheme="minorHAnsi" w:eastAsia="Calibri" w:hAnsiTheme="minorHAnsi"/>
          <w:b/>
          <w:sz w:val="24"/>
          <w:szCs w:val="24"/>
        </w:rPr>
        <w:t>ágaza</w:t>
      </w:r>
      <w:r w:rsidR="004E6916" w:rsidRPr="004364E5">
        <w:rPr>
          <w:rFonts w:asciiTheme="minorHAnsi" w:eastAsia="Calibri" w:hAnsiTheme="minorHAnsi"/>
          <w:b/>
          <w:sz w:val="24"/>
          <w:szCs w:val="24"/>
        </w:rPr>
        <w:t>t</w:t>
      </w:r>
      <w:r w:rsidR="00023283" w:rsidRPr="004364E5">
        <w:rPr>
          <w:rFonts w:asciiTheme="minorHAnsi" w:eastAsia="Calibri" w:hAnsiTheme="minorHAnsi"/>
          <w:b/>
          <w:sz w:val="24"/>
          <w:szCs w:val="24"/>
        </w:rPr>
        <w:t>i</w:t>
      </w:r>
      <w:proofErr w:type="spellEnd"/>
      <w:r w:rsidR="00023283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023283" w:rsidRPr="004364E5">
        <w:rPr>
          <w:rFonts w:asciiTheme="minorHAnsi" w:eastAsia="Calibri" w:hAnsiTheme="minorHAnsi"/>
          <w:b/>
          <w:sz w:val="24"/>
          <w:szCs w:val="24"/>
        </w:rPr>
        <w:t>hozzáadott</w:t>
      </w:r>
      <w:proofErr w:type="spellEnd"/>
      <w:r w:rsidR="00023283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023283" w:rsidRPr="004364E5">
        <w:rPr>
          <w:rFonts w:asciiTheme="minorHAnsi" w:eastAsia="Calibri" w:hAnsiTheme="minorHAnsi"/>
          <w:b/>
          <w:sz w:val="24"/>
          <w:szCs w:val="24"/>
        </w:rPr>
        <w:t>értéken</w:t>
      </w:r>
      <w:proofErr w:type="spellEnd"/>
      <w:r w:rsidR="00023283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023283" w:rsidRPr="004364E5">
        <w:rPr>
          <w:rFonts w:asciiTheme="minorHAnsi" w:eastAsia="Calibri" w:hAnsiTheme="minorHAnsi"/>
          <w:b/>
          <w:sz w:val="24"/>
          <w:szCs w:val="24"/>
        </w:rPr>
        <w:t>belül</w:t>
      </w:r>
      <w:proofErr w:type="spellEnd"/>
      <w:r w:rsidR="00023283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023283" w:rsidRPr="004364E5">
        <w:rPr>
          <w:rFonts w:asciiTheme="minorHAnsi" w:eastAsia="Calibri" w:hAnsiTheme="minorHAnsi"/>
          <w:b/>
          <w:sz w:val="24"/>
          <w:szCs w:val="24"/>
        </w:rPr>
        <w:t>jóval</w:t>
      </w:r>
      <w:proofErr w:type="spellEnd"/>
      <w:r w:rsidR="00023283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023283" w:rsidRPr="004364E5">
        <w:rPr>
          <w:rFonts w:asciiTheme="minorHAnsi" w:eastAsia="Calibri" w:hAnsiTheme="minorHAnsi"/>
          <w:b/>
          <w:sz w:val="24"/>
          <w:szCs w:val="24"/>
        </w:rPr>
        <w:t>alacsonyabb</w:t>
      </w:r>
      <w:proofErr w:type="spellEnd"/>
      <w:r w:rsidR="00023283" w:rsidRPr="004364E5">
        <w:rPr>
          <w:rFonts w:asciiTheme="minorHAnsi" w:eastAsia="Calibri" w:hAnsiTheme="minorHAnsi"/>
          <w:b/>
          <w:sz w:val="24"/>
          <w:szCs w:val="24"/>
        </w:rPr>
        <w:t xml:space="preserve">, mint a </w:t>
      </w:r>
      <w:proofErr w:type="spellStart"/>
      <w:r w:rsidR="00023283" w:rsidRPr="004364E5">
        <w:rPr>
          <w:rFonts w:asciiTheme="minorHAnsi" w:eastAsia="Calibri" w:hAnsiTheme="minorHAnsi"/>
          <w:b/>
          <w:sz w:val="24"/>
          <w:szCs w:val="24"/>
        </w:rPr>
        <w:t>többi</w:t>
      </w:r>
      <w:proofErr w:type="spellEnd"/>
      <w:r w:rsidR="00023283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proofErr w:type="gramStart"/>
      <w:r w:rsidR="00023283" w:rsidRPr="004364E5">
        <w:rPr>
          <w:rFonts w:asciiTheme="minorHAnsi" w:eastAsia="Calibri" w:hAnsiTheme="minorHAnsi"/>
          <w:b/>
          <w:sz w:val="24"/>
          <w:szCs w:val="24"/>
        </w:rPr>
        <w:t>ágazatban</w:t>
      </w:r>
      <w:proofErr w:type="spellEnd"/>
      <w:r w:rsidR="00023283" w:rsidRPr="004364E5">
        <w:rPr>
          <w:rFonts w:asciiTheme="minorHAnsi" w:eastAsia="Calibri" w:hAnsiTheme="minorHAnsi"/>
          <w:b/>
          <w:sz w:val="24"/>
          <w:szCs w:val="24"/>
        </w:rPr>
        <w:t xml:space="preserve">  </w:t>
      </w:r>
      <w:proofErr w:type="spellStart"/>
      <w:r w:rsidR="00023283" w:rsidRPr="004364E5">
        <w:rPr>
          <w:rFonts w:asciiTheme="minorHAnsi" w:eastAsia="Calibri" w:hAnsiTheme="minorHAnsi"/>
          <w:b/>
          <w:sz w:val="24"/>
          <w:szCs w:val="24"/>
        </w:rPr>
        <w:t>és</w:t>
      </w:r>
      <w:proofErr w:type="spellEnd"/>
      <w:proofErr w:type="gramEnd"/>
      <w:r w:rsidR="00023283" w:rsidRPr="004364E5">
        <w:rPr>
          <w:rFonts w:asciiTheme="minorHAnsi" w:eastAsia="Calibri" w:hAnsiTheme="minorHAnsi"/>
          <w:b/>
          <w:sz w:val="24"/>
          <w:szCs w:val="24"/>
        </w:rPr>
        <w:t xml:space="preserve"> a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szálláshely-vendéglátás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ágazat</w:t>
      </w:r>
      <w:proofErr w:type="spellEnd"/>
      <w:r w:rsidR="00023283" w:rsidRPr="004364E5">
        <w:rPr>
          <w:rFonts w:asciiTheme="minorHAnsi" w:eastAsia="Calibri" w:hAnsiTheme="minorHAnsi"/>
          <w:b/>
          <w:sz w:val="24"/>
          <w:szCs w:val="24"/>
        </w:rPr>
        <w:t xml:space="preserve">, </w:t>
      </w:r>
      <w:proofErr w:type="spellStart"/>
      <w:r w:rsidR="00023283" w:rsidRPr="004364E5">
        <w:rPr>
          <w:rFonts w:asciiTheme="minorHAnsi" w:eastAsia="Calibri" w:hAnsiTheme="minorHAnsi"/>
          <w:b/>
          <w:sz w:val="24"/>
          <w:szCs w:val="24"/>
        </w:rPr>
        <w:t>amely</w:t>
      </w:r>
      <w:proofErr w:type="spellEnd"/>
      <w:r w:rsidR="00023283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023283" w:rsidRPr="004364E5">
        <w:rPr>
          <w:rFonts w:asciiTheme="minorHAnsi" w:eastAsia="Calibri" w:hAnsiTheme="minorHAnsi"/>
          <w:b/>
          <w:sz w:val="24"/>
          <w:szCs w:val="24"/>
        </w:rPr>
        <w:t>viszont</w:t>
      </w:r>
      <w:proofErr w:type="spellEnd"/>
      <w:r w:rsidR="00023283" w:rsidRPr="004364E5">
        <w:rPr>
          <w:rFonts w:asciiTheme="minorHAnsi" w:eastAsia="Calibri" w:hAnsiTheme="minorHAnsi"/>
          <w:b/>
          <w:sz w:val="24"/>
          <w:szCs w:val="24"/>
        </w:rPr>
        <w:t xml:space="preserve"> a    </w:t>
      </w:r>
      <w:proofErr w:type="spellStart"/>
      <w:r w:rsidR="00023283" w:rsidRPr="004364E5">
        <w:rPr>
          <w:rFonts w:asciiTheme="minorHAnsi" w:eastAsia="Calibri" w:hAnsiTheme="minorHAnsi"/>
          <w:b/>
          <w:sz w:val="24"/>
          <w:szCs w:val="24"/>
        </w:rPr>
        <w:t>szürke</w:t>
      </w:r>
      <w:proofErr w:type="spellEnd"/>
      <w:r w:rsidR="00023283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023283" w:rsidRPr="004364E5">
        <w:rPr>
          <w:rFonts w:asciiTheme="minorHAnsi" w:eastAsia="Calibri" w:hAnsiTheme="minorHAnsi"/>
          <w:b/>
          <w:sz w:val="24"/>
          <w:szCs w:val="24"/>
        </w:rPr>
        <w:t>gazdaság</w:t>
      </w:r>
      <w:proofErr w:type="spellEnd"/>
      <w:r w:rsidR="00023283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023283" w:rsidRPr="004364E5">
        <w:rPr>
          <w:rFonts w:asciiTheme="minorHAnsi" w:eastAsia="Calibri" w:hAnsiTheme="minorHAnsi"/>
          <w:b/>
          <w:sz w:val="24"/>
          <w:szCs w:val="24"/>
        </w:rPr>
        <w:t>által</w:t>
      </w:r>
      <w:proofErr w:type="spellEnd"/>
      <w:r w:rsidR="00023283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023283" w:rsidRPr="004364E5">
        <w:rPr>
          <w:rFonts w:asciiTheme="minorHAnsi" w:eastAsia="Calibri" w:hAnsiTheme="minorHAnsi"/>
          <w:b/>
          <w:sz w:val="24"/>
          <w:szCs w:val="24"/>
        </w:rPr>
        <w:t>erősen</w:t>
      </w:r>
      <w:proofErr w:type="spellEnd"/>
      <w:r w:rsidR="00023283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023283" w:rsidRPr="004364E5">
        <w:rPr>
          <w:rFonts w:asciiTheme="minorHAnsi" w:eastAsia="Calibri" w:hAnsiTheme="minorHAnsi"/>
          <w:b/>
          <w:sz w:val="24"/>
          <w:szCs w:val="24"/>
        </w:rPr>
        <w:t>fertőzött</w:t>
      </w:r>
      <w:proofErr w:type="spellEnd"/>
      <w:r w:rsidR="00023283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023283" w:rsidRPr="004364E5">
        <w:rPr>
          <w:rFonts w:asciiTheme="minorHAnsi" w:eastAsia="Calibri" w:hAnsiTheme="minorHAnsi"/>
          <w:b/>
          <w:sz w:val="24"/>
          <w:szCs w:val="24"/>
        </w:rPr>
        <w:t>ágazatnak</w:t>
      </w:r>
      <w:proofErr w:type="spellEnd"/>
      <w:r w:rsidR="00023283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023283" w:rsidRPr="004364E5">
        <w:rPr>
          <w:rFonts w:asciiTheme="minorHAnsi" w:eastAsia="Calibri" w:hAnsiTheme="minorHAnsi"/>
          <w:b/>
          <w:sz w:val="24"/>
          <w:szCs w:val="24"/>
        </w:rPr>
        <w:t>minősíthető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. </w:t>
      </w:r>
    </w:p>
    <w:p w:rsidR="005F52D4" w:rsidRPr="004364E5" w:rsidRDefault="005F52D4" w:rsidP="002D2706">
      <w:pPr>
        <w:spacing w:line="276" w:lineRule="auto"/>
        <w:rPr>
          <w:rFonts w:asciiTheme="minorHAnsi" w:eastAsia="Calibri" w:hAnsiTheme="minorHAnsi"/>
          <w:b/>
          <w:sz w:val="24"/>
          <w:szCs w:val="24"/>
        </w:rPr>
      </w:pPr>
    </w:p>
    <w:p w:rsidR="002D2706" w:rsidRPr="004364E5" w:rsidRDefault="002D2706" w:rsidP="005F52D4">
      <w:pPr>
        <w:pStyle w:val="Listaszerbekezds"/>
        <w:spacing w:line="276" w:lineRule="auto"/>
        <w:ind w:left="0"/>
        <w:rPr>
          <w:rFonts w:asciiTheme="minorHAnsi" w:eastAsia="Calibri" w:hAnsiTheme="minorHAnsi"/>
          <w:b/>
          <w:sz w:val="24"/>
          <w:szCs w:val="24"/>
        </w:rPr>
      </w:pPr>
    </w:p>
    <w:p w:rsidR="002D2706" w:rsidRPr="004364E5" w:rsidRDefault="002D2706" w:rsidP="005F52D4">
      <w:pPr>
        <w:pStyle w:val="Listaszerbekezds"/>
        <w:spacing w:line="276" w:lineRule="auto"/>
        <w:ind w:left="0"/>
        <w:rPr>
          <w:rFonts w:asciiTheme="minorHAnsi" w:eastAsia="Calibri" w:hAnsiTheme="minorHAnsi"/>
          <w:b/>
          <w:sz w:val="24"/>
          <w:szCs w:val="24"/>
        </w:rPr>
      </w:pPr>
    </w:p>
    <w:p w:rsidR="003F3A7E" w:rsidRPr="004364E5" w:rsidRDefault="003F3A7E" w:rsidP="005F52D4">
      <w:pPr>
        <w:pStyle w:val="Listaszerbekezds"/>
        <w:spacing w:line="276" w:lineRule="auto"/>
        <w:ind w:left="0"/>
        <w:rPr>
          <w:rFonts w:asciiTheme="minorHAnsi" w:eastAsia="Calibri" w:hAnsiTheme="minorHAnsi"/>
          <w:b/>
          <w:sz w:val="24"/>
          <w:szCs w:val="24"/>
        </w:rPr>
      </w:pPr>
    </w:p>
    <w:p w:rsidR="005F52D4" w:rsidRPr="004364E5" w:rsidRDefault="005F52D4" w:rsidP="005F52D4">
      <w:pPr>
        <w:pStyle w:val="Listaszerbekezds"/>
        <w:spacing w:line="276" w:lineRule="auto"/>
        <w:ind w:left="0"/>
        <w:rPr>
          <w:rFonts w:asciiTheme="minorHAnsi" w:eastAsia="Calibri" w:hAnsiTheme="minorHAnsi"/>
          <w:b/>
          <w:sz w:val="24"/>
          <w:szCs w:val="24"/>
        </w:rPr>
      </w:pPr>
      <w:r w:rsidRPr="004364E5">
        <w:rPr>
          <w:rFonts w:asciiTheme="minorHAnsi" w:eastAsia="Calibri" w:hAnsiTheme="minorHAnsi"/>
          <w:b/>
          <w:sz w:val="24"/>
          <w:szCs w:val="24"/>
        </w:rPr>
        <w:t xml:space="preserve">A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bruttó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keresettömeg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aránya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proofErr w:type="gramStart"/>
      <w:r w:rsidRPr="004364E5">
        <w:rPr>
          <w:rFonts w:asciiTheme="minorHAnsi" w:eastAsia="Calibri" w:hAnsiTheme="minorHAnsi"/>
          <w:b/>
          <w:sz w:val="24"/>
          <w:szCs w:val="24"/>
        </w:rPr>
        <w:t>az</w:t>
      </w:r>
      <w:proofErr w:type="spellEnd"/>
      <w:proofErr w:type="gram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ágazati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hozzáadott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értékben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. </w:t>
      </w:r>
    </w:p>
    <w:p w:rsidR="005F52D4" w:rsidRPr="004364E5" w:rsidRDefault="00023283" w:rsidP="005F52D4">
      <w:pPr>
        <w:pStyle w:val="Listaszerbekezds"/>
        <w:spacing w:line="276" w:lineRule="auto"/>
        <w:ind w:left="0"/>
        <w:rPr>
          <w:rFonts w:asciiTheme="minorHAnsi" w:eastAsia="Calibri" w:hAnsiTheme="minorHAnsi"/>
          <w:b/>
          <w:sz w:val="24"/>
          <w:szCs w:val="24"/>
        </w:rPr>
      </w:pPr>
      <w:r w:rsidRPr="004364E5">
        <w:rPr>
          <w:rFonts w:asciiTheme="minorHAnsi" w:eastAsia="Calibri" w:hAnsiTheme="minorHAnsi"/>
          <w:b/>
          <w:sz w:val="24"/>
          <w:szCs w:val="24"/>
        </w:rPr>
        <w:t>(</w:t>
      </w:r>
      <w:r w:rsidR="005F52D4" w:rsidRPr="004364E5">
        <w:rPr>
          <w:rFonts w:asciiTheme="minorHAnsi" w:eastAsia="Calibri" w:hAnsiTheme="minorHAnsi"/>
          <w:b/>
          <w:sz w:val="24"/>
          <w:szCs w:val="24"/>
        </w:rPr>
        <w:t>A 201</w:t>
      </w:r>
      <w:r w:rsidRPr="004364E5">
        <w:rPr>
          <w:rFonts w:asciiTheme="minorHAnsi" w:eastAsia="Calibri" w:hAnsiTheme="minorHAnsi"/>
          <w:b/>
          <w:sz w:val="24"/>
          <w:szCs w:val="24"/>
        </w:rPr>
        <w:t>4</w:t>
      </w:r>
      <w:r w:rsidR="003F3A7E" w:rsidRPr="004364E5">
        <w:rPr>
          <w:rFonts w:asciiTheme="minorHAnsi" w:eastAsia="Calibri" w:hAnsiTheme="minorHAnsi"/>
          <w:b/>
          <w:sz w:val="24"/>
          <w:szCs w:val="24"/>
        </w:rPr>
        <w:t xml:space="preserve">. </w:t>
      </w:r>
      <w:proofErr w:type="spellStart"/>
      <w:proofErr w:type="gramStart"/>
      <w:r w:rsidR="003F3A7E" w:rsidRPr="004364E5">
        <w:rPr>
          <w:rFonts w:asciiTheme="minorHAnsi" w:eastAsia="Calibri" w:hAnsiTheme="minorHAnsi"/>
          <w:b/>
          <w:sz w:val="24"/>
          <w:szCs w:val="24"/>
        </w:rPr>
        <w:t>évi</w:t>
      </w:r>
      <w:proofErr w:type="spellEnd"/>
      <w:r w:rsidR="003F3A7E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r w:rsidRPr="004364E5">
        <w:rPr>
          <w:rFonts w:asciiTheme="minorHAnsi" w:eastAsia="Calibri" w:hAnsiTheme="minorHAnsi"/>
          <w:b/>
          <w:sz w:val="24"/>
          <w:szCs w:val="24"/>
        </w:rPr>
        <w:t xml:space="preserve"> “</w:t>
      </w:r>
      <w:proofErr w:type="spellStart"/>
      <w:proofErr w:type="gramEnd"/>
      <w:r w:rsidRPr="004364E5">
        <w:rPr>
          <w:rFonts w:asciiTheme="minorHAnsi" w:eastAsia="Calibri" w:hAnsiTheme="minorHAnsi"/>
          <w:b/>
          <w:sz w:val="24"/>
          <w:szCs w:val="24"/>
        </w:rPr>
        <w:t>korrigált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”  </w:t>
      </w:r>
      <w:proofErr w:type="spellStart"/>
      <w:r w:rsidR="005F52D4" w:rsidRPr="004364E5">
        <w:rPr>
          <w:rFonts w:asciiTheme="minorHAnsi" w:eastAsia="Calibri" w:hAnsiTheme="minorHAnsi"/>
          <w:b/>
          <w:sz w:val="24"/>
          <w:szCs w:val="24"/>
        </w:rPr>
        <w:t>arány</w:t>
      </w:r>
      <w:proofErr w:type="spellEnd"/>
      <w:r w:rsidR="005F52D4" w:rsidRPr="004364E5">
        <w:rPr>
          <w:rFonts w:asciiTheme="minorHAnsi" w:eastAsia="Calibri" w:hAnsiTheme="minorHAnsi"/>
          <w:b/>
          <w:sz w:val="24"/>
          <w:szCs w:val="24"/>
        </w:rPr>
        <w:t xml:space="preserve"> a </w:t>
      </w:r>
      <w:proofErr w:type="spellStart"/>
      <w:r w:rsidR="005F52D4" w:rsidRPr="004364E5">
        <w:rPr>
          <w:rFonts w:asciiTheme="minorHAnsi" w:eastAsia="Calibri" w:hAnsiTheme="minorHAnsi"/>
          <w:b/>
          <w:sz w:val="24"/>
          <w:szCs w:val="24"/>
        </w:rPr>
        <w:t>javasolt</w:t>
      </w:r>
      <w:proofErr w:type="spellEnd"/>
      <w:r w:rsidR="005F52D4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5F52D4" w:rsidRPr="004364E5">
        <w:rPr>
          <w:rFonts w:asciiTheme="minorHAnsi" w:eastAsia="Calibri" w:hAnsiTheme="minorHAnsi"/>
          <w:b/>
          <w:sz w:val="24"/>
          <w:szCs w:val="24"/>
        </w:rPr>
        <w:t>minimálbér</w:t>
      </w:r>
      <w:proofErr w:type="spellEnd"/>
      <w:r w:rsidR="005F52D4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5F52D4" w:rsidRPr="004364E5">
        <w:rPr>
          <w:rFonts w:asciiTheme="minorHAnsi" w:eastAsia="Calibri" w:hAnsiTheme="minorHAnsi"/>
          <w:b/>
          <w:sz w:val="24"/>
          <w:szCs w:val="24"/>
        </w:rPr>
        <w:t>emelés</w:t>
      </w:r>
      <w:proofErr w:type="spellEnd"/>
      <w:r w:rsidR="005F52D4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5F52D4" w:rsidRPr="004364E5">
        <w:rPr>
          <w:rFonts w:asciiTheme="minorHAnsi" w:eastAsia="Calibri" w:hAnsiTheme="minorHAnsi"/>
          <w:b/>
          <w:sz w:val="24"/>
          <w:szCs w:val="24"/>
        </w:rPr>
        <w:t>hatását</w:t>
      </w:r>
      <w:proofErr w:type="spellEnd"/>
      <w:r w:rsidR="005F52D4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5F52D4" w:rsidRPr="004364E5">
        <w:rPr>
          <w:rFonts w:asciiTheme="minorHAnsi" w:eastAsia="Calibri" w:hAnsiTheme="minorHAnsi"/>
          <w:b/>
          <w:sz w:val="24"/>
          <w:szCs w:val="24"/>
        </w:rPr>
        <w:t>tükrözi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>)</w:t>
      </w:r>
    </w:p>
    <w:p w:rsidR="005F52D4" w:rsidRPr="004364E5" w:rsidRDefault="005F52D4" w:rsidP="00A445CA">
      <w:pPr>
        <w:pStyle w:val="Listaszerbekezds"/>
        <w:spacing w:line="276" w:lineRule="auto"/>
        <w:rPr>
          <w:rFonts w:asciiTheme="minorHAnsi" w:eastAsia="Calibri" w:hAnsiTheme="minorHAnsi"/>
          <w:b/>
          <w:sz w:val="24"/>
          <w:szCs w:val="24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2520"/>
        <w:gridCol w:w="900"/>
        <w:gridCol w:w="990"/>
        <w:gridCol w:w="990"/>
      </w:tblGrid>
      <w:tr w:rsidR="005F52D4" w:rsidRPr="004364E5" w:rsidTr="004E6916">
        <w:tc>
          <w:tcPr>
            <w:tcW w:w="2520" w:type="dxa"/>
          </w:tcPr>
          <w:p w:rsidR="005F52D4" w:rsidRPr="004364E5" w:rsidRDefault="005F52D4" w:rsidP="00A445CA">
            <w:pPr>
              <w:pStyle w:val="Listaszerbekezds"/>
              <w:spacing w:line="276" w:lineRule="auto"/>
              <w:ind w:left="0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proofErr w:type="spellStart"/>
            <w:r w:rsidRPr="004364E5">
              <w:rPr>
                <w:rFonts w:asciiTheme="minorHAnsi" w:eastAsia="Calibri" w:hAnsiTheme="minorHAnsi"/>
                <w:b/>
                <w:sz w:val="24"/>
                <w:szCs w:val="24"/>
              </w:rPr>
              <w:t>Ágazat</w:t>
            </w:r>
            <w:proofErr w:type="spellEnd"/>
          </w:p>
        </w:tc>
        <w:tc>
          <w:tcPr>
            <w:tcW w:w="900" w:type="dxa"/>
          </w:tcPr>
          <w:p w:rsidR="005F52D4" w:rsidRPr="004364E5" w:rsidRDefault="005F52D4" w:rsidP="00A445CA">
            <w:pPr>
              <w:pStyle w:val="Listaszerbekezds"/>
              <w:spacing w:line="276" w:lineRule="auto"/>
              <w:ind w:left="0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4364E5">
              <w:rPr>
                <w:rFonts w:asciiTheme="minorHAnsi" w:eastAsia="Calibri" w:hAnsiTheme="minorHAnsi"/>
                <w:b/>
                <w:sz w:val="24"/>
                <w:szCs w:val="24"/>
              </w:rPr>
              <w:t>2011</w:t>
            </w:r>
          </w:p>
        </w:tc>
        <w:tc>
          <w:tcPr>
            <w:tcW w:w="990" w:type="dxa"/>
          </w:tcPr>
          <w:p w:rsidR="005F52D4" w:rsidRPr="004364E5" w:rsidRDefault="005F52D4" w:rsidP="00A445CA">
            <w:pPr>
              <w:pStyle w:val="Listaszerbekezds"/>
              <w:spacing w:line="276" w:lineRule="auto"/>
              <w:ind w:left="0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4364E5">
              <w:rPr>
                <w:rFonts w:asciiTheme="minorHAnsi" w:eastAsia="Calibri" w:hAnsiTheme="minorHAnsi"/>
                <w:b/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5F52D4" w:rsidRPr="004364E5" w:rsidRDefault="005F52D4" w:rsidP="005F52D4">
            <w:pPr>
              <w:pStyle w:val="Listaszerbekezds"/>
              <w:spacing w:line="276" w:lineRule="auto"/>
              <w:ind w:left="0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4364E5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2014 </w:t>
            </w:r>
            <w:proofErr w:type="spellStart"/>
            <w:r w:rsidRPr="004364E5">
              <w:rPr>
                <w:rFonts w:asciiTheme="minorHAnsi" w:eastAsia="Calibri" w:hAnsiTheme="minorHAnsi"/>
                <w:b/>
                <w:sz w:val="24"/>
                <w:szCs w:val="24"/>
              </w:rPr>
              <w:t>korr</w:t>
            </w:r>
            <w:proofErr w:type="spellEnd"/>
            <w:r w:rsidRPr="004364E5">
              <w:rPr>
                <w:rFonts w:asciiTheme="minorHAnsi" w:eastAsia="Calibri" w:hAnsiTheme="minorHAnsi"/>
                <w:b/>
                <w:sz w:val="24"/>
                <w:szCs w:val="24"/>
              </w:rPr>
              <w:t>.</w:t>
            </w:r>
          </w:p>
        </w:tc>
      </w:tr>
    </w:tbl>
    <w:tbl>
      <w:tblPr>
        <w:tblW w:w="5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2"/>
        <w:gridCol w:w="979"/>
        <w:gridCol w:w="979"/>
        <w:gridCol w:w="960"/>
      </w:tblGrid>
      <w:tr w:rsidR="00031819" w:rsidRPr="004364E5" w:rsidTr="004E6916">
        <w:trPr>
          <w:trHeight w:val="120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19" w:rsidRPr="004364E5" w:rsidRDefault="00031819" w:rsidP="00031819">
            <w:pPr>
              <w:rPr>
                <w:rFonts w:asciiTheme="minorHAnsi" w:eastAsia="Arial Unicode MS" w:hAnsiTheme="minorHAnsi" w:cs="Arial Unicode MS"/>
                <w:b/>
                <w:bCs/>
                <w:sz w:val="28"/>
                <w:szCs w:val="28"/>
                <w:lang w:val="hu-HU" w:eastAsia="hu-HU"/>
              </w:rPr>
            </w:pPr>
            <w:proofErr w:type="gramStart"/>
            <w:r w:rsidRPr="004364E5">
              <w:rPr>
                <w:rFonts w:asciiTheme="minorHAnsi" w:eastAsia="Arial Unicode MS" w:hAnsiTheme="minorHAnsi" w:cs="Arial Unicode MS"/>
                <w:b/>
                <w:bCs/>
                <w:sz w:val="28"/>
                <w:szCs w:val="28"/>
                <w:lang w:val="hu-HU" w:eastAsia="hu-HU"/>
              </w:rPr>
              <w:t>A      Mezőgazdaság</w:t>
            </w:r>
            <w:proofErr w:type="gramEnd"/>
            <w:r w:rsidRPr="004364E5">
              <w:rPr>
                <w:rFonts w:asciiTheme="minorHAnsi" w:eastAsia="Arial Unicode MS" w:hAnsiTheme="minorHAnsi" w:cs="Arial Unicode MS"/>
                <w:b/>
                <w:bCs/>
                <w:sz w:val="28"/>
                <w:szCs w:val="28"/>
                <w:lang w:val="hu-HU" w:eastAsia="hu-HU"/>
              </w:rPr>
              <w:t>, erdőgazdaság, halászat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819" w:rsidRPr="004364E5" w:rsidRDefault="00031819" w:rsidP="00031819">
            <w:pPr>
              <w:jc w:val="right"/>
              <w:rPr>
                <w:rFonts w:asciiTheme="minorHAnsi" w:hAnsiTheme="minorHAnsi" w:cs="Arial"/>
                <w:sz w:val="28"/>
                <w:szCs w:val="28"/>
                <w:lang w:val="hu-HU" w:eastAsia="hu-HU"/>
              </w:rPr>
            </w:pPr>
            <w:r w:rsidRPr="004364E5">
              <w:rPr>
                <w:rFonts w:asciiTheme="minorHAnsi" w:hAnsiTheme="minorHAnsi" w:cs="Arial"/>
                <w:sz w:val="28"/>
                <w:szCs w:val="28"/>
                <w:lang w:val="hu-HU" w:eastAsia="hu-HU"/>
              </w:rPr>
              <w:t>11.85%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819" w:rsidRPr="004364E5" w:rsidRDefault="00031819" w:rsidP="00031819">
            <w:pPr>
              <w:jc w:val="right"/>
              <w:rPr>
                <w:rFonts w:asciiTheme="minorHAnsi" w:hAnsiTheme="minorHAnsi" w:cs="Arial"/>
                <w:sz w:val="28"/>
                <w:szCs w:val="28"/>
                <w:lang w:val="hu-HU" w:eastAsia="hu-HU"/>
              </w:rPr>
            </w:pPr>
            <w:r w:rsidRPr="004364E5">
              <w:rPr>
                <w:rFonts w:asciiTheme="minorHAnsi" w:hAnsiTheme="minorHAnsi" w:cs="Arial"/>
                <w:sz w:val="28"/>
                <w:szCs w:val="28"/>
                <w:lang w:val="hu-HU" w:eastAsia="hu-HU"/>
              </w:rPr>
              <w:t>13.52%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819" w:rsidRPr="004364E5" w:rsidRDefault="00031819" w:rsidP="00031819">
            <w:pPr>
              <w:jc w:val="right"/>
              <w:rPr>
                <w:rFonts w:asciiTheme="minorHAnsi" w:hAnsiTheme="minorHAnsi" w:cs="Arial"/>
                <w:sz w:val="28"/>
                <w:szCs w:val="28"/>
                <w:lang w:val="hu-HU" w:eastAsia="hu-HU"/>
              </w:rPr>
            </w:pPr>
            <w:r w:rsidRPr="004364E5">
              <w:rPr>
                <w:rFonts w:asciiTheme="minorHAnsi" w:hAnsiTheme="minorHAnsi" w:cs="Arial"/>
                <w:sz w:val="28"/>
                <w:szCs w:val="28"/>
                <w:lang w:val="hu-HU" w:eastAsia="hu-HU"/>
              </w:rPr>
              <w:t>14.0%</w:t>
            </w:r>
          </w:p>
        </w:tc>
      </w:tr>
      <w:tr w:rsidR="00031819" w:rsidRPr="004364E5" w:rsidTr="004E6916">
        <w:trPr>
          <w:trHeight w:val="6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19" w:rsidRPr="004364E5" w:rsidRDefault="00031819" w:rsidP="00031819">
            <w:pPr>
              <w:rPr>
                <w:rFonts w:asciiTheme="minorHAnsi" w:eastAsia="Arial Unicode MS" w:hAnsiTheme="minorHAnsi" w:cs="Arial Unicode MS"/>
                <w:b/>
                <w:bCs/>
                <w:sz w:val="28"/>
                <w:szCs w:val="28"/>
                <w:lang w:val="hu-HU" w:eastAsia="hu-HU"/>
              </w:rPr>
            </w:pPr>
            <w:proofErr w:type="gramStart"/>
            <w:r w:rsidRPr="004364E5">
              <w:rPr>
                <w:rFonts w:asciiTheme="minorHAnsi" w:eastAsia="Arial Unicode MS" w:hAnsiTheme="minorHAnsi" w:cs="Arial Unicode MS"/>
                <w:b/>
                <w:bCs/>
                <w:sz w:val="28"/>
                <w:szCs w:val="28"/>
                <w:lang w:val="hu-HU" w:eastAsia="hu-HU"/>
              </w:rPr>
              <w:t>C      Feldolgozóipar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819" w:rsidRPr="004364E5" w:rsidRDefault="00031819" w:rsidP="00031819">
            <w:pPr>
              <w:jc w:val="right"/>
              <w:rPr>
                <w:rFonts w:asciiTheme="minorHAnsi" w:hAnsiTheme="minorHAnsi" w:cs="Arial"/>
                <w:sz w:val="28"/>
                <w:szCs w:val="28"/>
                <w:lang w:val="hu-HU" w:eastAsia="hu-HU"/>
              </w:rPr>
            </w:pPr>
            <w:r w:rsidRPr="004364E5">
              <w:rPr>
                <w:rFonts w:asciiTheme="minorHAnsi" w:hAnsiTheme="minorHAnsi" w:cs="Arial"/>
                <w:sz w:val="28"/>
                <w:szCs w:val="28"/>
                <w:lang w:val="hu-HU" w:eastAsia="hu-HU"/>
              </w:rPr>
              <w:t>28.76%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819" w:rsidRPr="004364E5" w:rsidRDefault="00031819" w:rsidP="00031819">
            <w:pPr>
              <w:jc w:val="right"/>
              <w:rPr>
                <w:rFonts w:asciiTheme="minorHAnsi" w:hAnsiTheme="minorHAnsi" w:cs="Arial"/>
                <w:sz w:val="28"/>
                <w:szCs w:val="28"/>
                <w:lang w:val="hu-HU" w:eastAsia="hu-HU"/>
              </w:rPr>
            </w:pPr>
            <w:r w:rsidRPr="004364E5">
              <w:rPr>
                <w:rFonts w:asciiTheme="minorHAnsi" w:hAnsiTheme="minorHAnsi" w:cs="Arial"/>
                <w:sz w:val="28"/>
                <w:szCs w:val="28"/>
                <w:lang w:val="hu-HU" w:eastAsia="hu-HU"/>
              </w:rPr>
              <w:t>28.54%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819" w:rsidRPr="004364E5" w:rsidRDefault="00031819" w:rsidP="00031819">
            <w:pPr>
              <w:jc w:val="right"/>
              <w:rPr>
                <w:rFonts w:asciiTheme="minorHAnsi" w:hAnsiTheme="minorHAnsi" w:cs="Arial"/>
                <w:sz w:val="28"/>
                <w:szCs w:val="28"/>
                <w:lang w:val="hu-HU" w:eastAsia="hu-HU"/>
              </w:rPr>
            </w:pPr>
            <w:r w:rsidRPr="004364E5">
              <w:rPr>
                <w:rFonts w:asciiTheme="minorHAnsi" w:hAnsiTheme="minorHAnsi" w:cs="Arial"/>
                <w:sz w:val="28"/>
                <w:szCs w:val="28"/>
                <w:lang w:val="hu-HU" w:eastAsia="hu-HU"/>
              </w:rPr>
              <w:t>28.8%</w:t>
            </w:r>
          </w:p>
        </w:tc>
      </w:tr>
      <w:tr w:rsidR="00031819" w:rsidRPr="004364E5" w:rsidTr="004E6916">
        <w:trPr>
          <w:trHeight w:val="3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19" w:rsidRPr="004364E5" w:rsidRDefault="00031819" w:rsidP="00031819">
            <w:pPr>
              <w:rPr>
                <w:rFonts w:asciiTheme="minorHAnsi" w:eastAsia="Arial Unicode MS" w:hAnsiTheme="minorHAnsi" w:cs="Arial Unicode MS"/>
                <w:b/>
                <w:bCs/>
                <w:sz w:val="28"/>
                <w:szCs w:val="28"/>
                <w:lang w:val="hu-HU" w:eastAsia="hu-HU"/>
              </w:rPr>
            </w:pPr>
            <w:proofErr w:type="gramStart"/>
            <w:r w:rsidRPr="004364E5">
              <w:rPr>
                <w:rFonts w:asciiTheme="minorHAnsi" w:eastAsia="Arial Unicode MS" w:hAnsiTheme="minorHAnsi" w:cs="Arial Unicode MS"/>
                <w:b/>
                <w:bCs/>
                <w:sz w:val="28"/>
                <w:szCs w:val="28"/>
                <w:lang w:val="hu-HU" w:eastAsia="hu-HU"/>
              </w:rPr>
              <w:t>F      Építőipar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819" w:rsidRPr="004364E5" w:rsidRDefault="00031819" w:rsidP="00031819">
            <w:pPr>
              <w:jc w:val="right"/>
              <w:rPr>
                <w:rFonts w:asciiTheme="minorHAnsi" w:hAnsiTheme="minorHAnsi" w:cs="Arial"/>
                <w:sz w:val="28"/>
                <w:szCs w:val="28"/>
                <w:lang w:val="hu-HU" w:eastAsia="hu-HU"/>
              </w:rPr>
            </w:pPr>
            <w:r w:rsidRPr="004364E5">
              <w:rPr>
                <w:rFonts w:asciiTheme="minorHAnsi" w:hAnsiTheme="minorHAnsi" w:cs="Arial"/>
                <w:sz w:val="28"/>
                <w:szCs w:val="28"/>
                <w:lang w:val="hu-HU" w:eastAsia="hu-HU"/>
              </w:rPr>
              <w:t>20.96%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819" w:rsidRPr="004364E5" w:rsidRDefault="00031819" w:rsidP="00031819">
            <w:pPr>
              <w:jc w:val="right"/>
              <w:rPr>
                <w:rFonts w:asciiTheme="minorHAnsi" w:hAnsiTheme="minorHAnsi" w:cs="Arial"/>
                <w:sz w:val="28"/>
                <w:szCs w:val="28"/>
                <w:lang w:val="hu-HU" w:eastAsia="hu-HU"/>
              </w:rPr>
            </w:pPr>
            <w:r w:rsidRPr="004364E5">
              <w:rPr>
                <w:rFonts w:asciiTheme="minorHAnsi" w:hAnsiTheme="minorHAnsi" w:cs="Arial"/>
                <w:sz w:val="28"/>
                <w:szCs w:val="28"/>
                <w:lang w:val="hu-HU" w:eastAsia="hu-HU"/>
              </w:rPr>
              <w:t>19.56%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819" w:rsidRPr="004364E5" w:rsidRDefault="00031819" w:rsidP="00031819">
            <w:pPr>
              <w:jc w:val="right"/>
              <w:rPr>
                <w:rFonts w:asciiTheme="minorHAnsi" w:hAnsiTheme="minorHAnsi" w:cs="Arial"/>
                <w:sz w:val="28"/>
                <w:szCs w:val="28"/>
                <w:lang w:val="hu-HU" w:eastAsia="hu-HU"/>
              </w:rPr>
            </w:pPr>
            <w:r w:rsidRPr="004364E5">
              <w:rPr>
                <w:rFonts w:asciiTheme="minorHAnsi" w:hAnsiTheme="minorHAnsi" w:cs="Arial"/>
                <w:sz w:val="28"/>
                <w:szCs w:val="28"/>
                <w:lang w:val="hu-HU" w:eastAsia="hu-HU"/>
              </w:rPr>
              <w:t>20.5%</w:t>
            </w:r>
          </w:p>
        </w:tc>
      </w:tr>
      <w:tr w:rsidR="00031819" w:rsidRPr="004364E5" w:rsidTr="004E6916">
        <w:trPr>
          <w:trHeight w:val="9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19" w:rsidRPr="004364E5" w:rsidRDefault="00031819" w:rsidP="00031819">
            <w:pPr>
              <w:rPr>
                <w:rFonts w:asciiTheme="minorHAnsi" w:eastAsia="Arial Unicode MS" w:hAnsiTheme="minorHAnsi" w:cs="Arial Unicode MS"/>
                <w:b/>
                <w:bCs/>
                <w:sz w:val="28"/>
                <w:szCs w:val="28"/>
                <w:lang w:val="hu-HU" w:eastAsia="hu-HU"/>
              </w:rPr>
            </w:pPr>
            <w:proofErr w:type="gramStart"/>
            <w:r w:rsidRPr="004364E5">
              <w:rPr>
                <w:rFonts w:asciiTheme="minorHAnsi" w:eastAsia="Arial Unicode MS" w:hAnsiTheme="minorHAnsi" w:cs="Arial Unicode MS"/>
                <w:b/>
                <w:bCs/>
                <w:sz w:val="28"/>
                <w:szCs w:val="28"/>
                <w:lang w:val="hu-HU" w:eastAsia="hu-HU"/>
              </w:rPr>
              <w:t>G      Kereskedelem</w:t>
            </w:r>
            <w:proofErr w:type="gramEnd"/>
            <w:r w:rsidRPr="004364E5">
              <w:rPr>
                <w:rFonts w:asciiTheme="minorHAnsi" w:eastAsia="Arial Unicode MS" w:hAnsiTheme="minorHAnsi" w:cs="Arial Unicode MS"/>
                <w:b/>
                <w:bCs/>
                <w:sz w:val="28"/>
                <w:szCs w:val="28"/>
                <w:lang w:val="hu-HU" w:eastAsia="hu-HU"/>
              </w:rPr>
              <w:t>, gépjárműjavítás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819" w:rsidRPr="004364E5" w:rsidRDefault="00031819" w:rsidP="00031819">
            <w:pPr>
              <w:jc w:val="right"/>
              <w:rPr>
                <w:rFonts w:asciiTheme="minorHAnsi" w:hAnsiTheme="minorHAnsi" w:cs="Arial"/>
                <w:sz w:val="28"/>
                <w:szCs w:val="28"/>
                <w:lang w:val="hu-HU" w:eastAsia="hu-HU"/>
              </w:rPr>
            </w:pPr>
            <w:r w:rsidRPr="004364E5">
              <w:rPr>
                <w:rFonts w:asciiTheme="minorHAnsi" w:hAnsiTheme="minorHAnsi" w:cs="Arial"/>
                <w:sz w:val="28"/>
                <w:szCs w:val="28"/>
                <w:lang w:val="hu-HU" w:eastAsia="hu-HU"/>
              </w:rPr>
              <w:t>30.67%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819" w:rsidRPr="004364E5" w:rsidRDefault="00031819" w:rsidP="00031819">
            <w:pPr>
              <w:jc w:val="right"/>
              <w:rPr>
                <w:rFonts w:asciiTheme="minorHAnsi" w:hAnsiTheme="minorHAnsi" w:cs="Arial"/>
                <w:sz w:val="28"/>
                <w:szCs w:val="28"/>
                <w:lang w:val="hu-HU" w:eastAsia="hu-HU"/>
              </w:rPr>
            </w:pPr>
            <w:r w:rsidRPr="004364E5">
              <w:rPr>
                <w:rFonts w:asciiTheme="minorHAnsi" w:hAnsiTheme="minorHAnsi" w:cs="Arial"/>
                <w:sz w:val="28"/>
                <w:szCs w:val="28"/>
                <w:lang w:val="hu-HU" w:eastAsia="hu-HU"/>
              </w:rPr>
              <w:t>29.56%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819" w:rsidRPr="004364E5" w:rsidRDefault="00031819" w:rsidP="00031819">
            <w:pPr>
              <w:jc w:val="right"/>
              <w:rPr>
                <w:rFonts w:asciiTheme="minorHAnsi" w:hAnsiTheme="minorHAnsi" w:cs="Arial"/>
                <w:sz w:val="28"/>
                <w:szCs w:val="28"/>
                <w:lang w:val="hu-HU" w:eastAsia="hu-HU"/>
              </w:rPr>
            </w:pPr>
            <w:r w:rsidRPr="004364E5">
              <w:rPr>
                <w:rFonts w:asciiTheme="minorHAnsi" w:hAnsiTheme="minorHAnsi" w:cs="Arial"/>
                <w:sz w:val="28"/>
                <w:szCs w:val="28"/>
                <w:lang w:val="hu-HU" w:eastAsia="hu-HU"/>
              </w:rPr>
              <w:t>30.6%</w:t>
            </w:r>
          </w:p>
        </w:tc>
      </w:tr>
      <w:tr w:rsidR="00031819" w:rsidRPr="004364E5" w:rsidTr="004E6916">
        <w:trPr>
          <w:trHeight w:val="6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19" w:rsidRPr="004364E5" w:rsidRDefault="00031819" w:rsidP="00031819">
            <w:pPr>
              <w:rPr>
                <w:rFonts w:asciiTheme="minorHAnsi" w:eastAsia="Arial Unicode MS" w:hAnsiTheme="minorHAnsi" w:cs="Arial Unicode MS"/>
                <w:b/>
                <w:bCs/>
                <w:sz w:val="28"/>
                <w:szCs w:val="28"/>
                <w:lang w:val="hu-HU" w:eastAsia="hu-HU"/>
              </w:rPr>
            </w:pPr>
            <w:proofErr w:type="gramStart"/>
            <w:r w:rsidRPr="004364E5">
              <w:rPr>
                <w:rFonts w:asciiTheme="minorHAnsi" w:eastAsia="Arial Unicode MS" w:hAnsiTheme="minorHAnsi" w:cs="Arial Unicode MS"/>
                <w:b/>
                <w:bCs/>
                <w:sz w:val="28"/>
                <w:szCs w:val="28"/>
                <w:lang w:val="hu-HU" w:eastAsia="hu-HU"/>
              </w:rPr>
              <w:t>H      Szállítás</w:t>
            </w:r>
            <w:proofErr w:type="gramEnd"/>
            <w:r w:rsidRPr="004364E5">
              <w:rPr>
                <w:rFonts w:asciiTheme="minorHAnsi" w:eastAsia="Arial Unicode MS" w:hAnsiTheme="minorHAnsi" w:cs="Arial Unicode MS"/>
                <w:b/>
                <w:bCs/>
                <w:sz w:val="28"/>
                <w:szCs w:val="28"/>
                <w:lang w:val="hu-HU" w:eastAsia="hu-HU"/>
              </w:rPr>
              <w:t>, raktározás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819" w:rsidRPr="004364E5" w:rsidRDefault="00031819" w:rsidP="00031819">
            <w:pPr>
              <w:jc w:val="right"/>
              <w:rPr>
                <w:rFonts w:asciiTheme="minorHAnsi" w:hAnsiTheme="minorHAnsi" w:cs="Arial"/>
                <w:sz w:val="28"/>
                <w:szCs w:val="28"/>
                <w:lang w:val="hu-HU" w:eastAsia="hu-HU"/>
              </w:rPr>
            </w:pPr>
            <w:r w:rsidRPr="004364E5">
              <w:rPr>
                <w:rFonts w:asciiTheme="minorHAnsi" w:hAnsiTheme="minorHAnsi" w:cs="Arial"/>
                <w:sz w:val="28"/>
                <w:szCs w:val="28"/>
                <w:lang w:val="hu-HU" w:eastAsia="hu-HU"/>
              </w:rPr>
              <w:t>30.88%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819" w:rsidRPr="004364E5" w:rsidRDefault="00031819" w:rsidP="00031819">
            <w:pPr>
              <w:jc w:val="right"/>
              <w:rPr>
                <w:rFonts w:asciiTheme="minorHAnsi" w:hAnsiTheme="minorHAnsi" w:cs="Arial"/>
                <w:sz w:val="28"/>
                <w:szCs w:val="28"/>
                <w:lang w:val="hu-HU" w:eastAsia="hu-HU"/>
              </w:rPr>
            </w:pPr>
            <w:r w:rsidRPr="004364E5">
              <w:rPr>
                <w:rFonts w:asciiTheme="minorHAnsi" w:hAnsiTheme="minorHAnsi" w:cs="Arial"/>
                <w:sz w:val="28"/>
                <w:szCs w:val="28"/>
                <w:lang w:val="hu-HU" w:eastAsia="hu-HU"/>
              </w:rPr>
              <w:t>30.58%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819" w:rsidRPr="004364E5" w:rsidRDefault="00031819" w:rsidP="00031819">
            <w:pPr>
              <w:jc w:val="right"/>
              <w:rPr>
                <w:rFonts w:asciiTheme="minorHAnsi" w:hAnsiTheme="minorHAnsi" w:cs="Arial"/>
                <w:sz w:val="28"/>
                <w:szCs w:val="28"/>
                <w:lang w:val="hu-HU" w:eastAsia="hu-HU"/>
              </w:rPr>
            </w:pPr>
            <w:r w:rsidRPr="004364E5">
              <w:rPr>
                <w:rFonts w:asciiTheme="minorHAnsi" w:hAnsiTheme="minorHAnsi" w:cs="Arial"/>
                <w:sz w:val="28"/>
                <w:szCs w:val="28"/>
                <w:lang w:val="hu-HU" w:eastAsia="hu-HU"/>
              </w:rPr>
              <w:t>31.1%</w:t>
            </w:r>
          </w:p>
        </w:tc>
      </w:tr>
      <w:tr w:rsidR="00031819" w:rsidRPr="004364E5" w:rsidTr="004E6916">
        <w:trPr>
          <w:trHeight w:val="9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19" w:rsidRPr="004364E5" w:rsidRDefault="00031819" w:rsidP="00031819">
            <w:pPr>
              <w:rPr>
                <w:rFonts w:asciiTheme="minorHAnsi" w:eastAsia="Arial Unicode MS" w:hAnsiTheme="minorHAnsi" w:cs="Arial Unicode MS"/>
                <w:b/>
                <w:bCs/>
                <w:sz w:val="28"/>
                <w:szCs w:val="28"/>
                <w:lang w:val="hu-HU" w:eastAsia="hu-HU"/>
              </w:rPr>
            </w:pPr>
            <w:proofErr w:type="gramStart"/>
            <w:r w:rsidRPr="004364E5">
              <w:rPr>
                <w:rFonts w:asciiTheme="minorHAnsi" w:eastAsia="Arial Unicode MS" w:hAnsiTheme="minorHAnsi" w:cs="Arial Unicode MS"/>
                <w:b/>
                <w:bCs/>
                <w:sz w:val="28"/>
                <w:szCs w:val="28"/>
                <w:lang w:val="hu-HU" w:eastAsia="hu-HU"/>
              </w:rPr>
              <w:t>I      Szálláshely-szolgáltatás</w:t>
            </w:r>
            <w:proofErr w:type="gramEnd"/>
            <w:r w:rsidRPr="004364E5">
              <w:rPr>
                <w:rFonts w:asciiTheme="minorHAnsi" w:eastAsia="Arial Unicode MS" w:hAnsiTheme="minorHAnsi" w:cs="Arial Unicode MS"/>
                <w:b/>
                <w:bCs/>
                <w:sz w:val="28"/>
                <w:szCs w:val="28"/>
                <w:lang w:val="hu-HU" w:eastAsia="hu-HU"/>
              </w:rPr>
              <w:t>, vendéglátás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819" w:rsidRPr="004364E5" w:rsidRDefault="00031819" w:rsidP="00031819">
            <w:pPr>
              <w:jc w:val="right"/>
              <w:rPr>
                <w:rFonts w:asciiTheme="minorHAnsi" w:hAnsiTheme="minorHAnsi" w:cs="Arial"/>
                <w:sz w:val="28"/>
                <w:szCs w:val="28"/>
                <w:lang w:val="hu-HU" w:eastAsia="hu-HU"/>
              </w:rPr>
            </w:pPr>
            <w:r w:rsidRPr="004364E5">
              <w:rPr>
                <w:rFonts w:asciiTheme="minorHAnsi" w:hAnsiTheme="minorHAnsi" w:cs="Arial"/>
                <w:sz w:val="28"/>
                <w:szCs w:val="28"/>
                <w:lang w:val="hu-HU" w:eastAsia="hu-HU"/>
              </w:rPr>
              <w:t>26.71%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819" w:rsidRPr="004364E5" w:rsidRDefault="00031819" w:rsidP="00031819">
            <w:pPr>
              <w:jc w:val="right"/>
              <w:rPr>
                <w:rFonts w:asciiTheme="minorHAnsi" w:hAnsiTheme="minorHAnsi" w:cs="Arial"/>
                <w:sz w:val="28"/>
                <w:szCs w:val="28"/>
                <w:lang w:val="hu-HU" w:eastAsia="hu-HU"/>
              </w:rPr>
            </w:pPr>
            <w:r w:rsidRPr="004364E5">
              <w:rPr>
                <w:rFonts w:asciiTheme="minorHAnsi" w:hAnsiTheme="minorHAnsi" w:cs="Arial"/>
                <w:sz w:val="28"/>
                <w:szCs w:val="28"/>
                <w:lang w:val="hu-HU" w:eastAsia="hu-HU"/>
              </w:rPr>
              <w:t>28.78%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819" w:rsidRPr="004364E5" w:rsidRDefault="00031819" w:rsidP="00031819">
            <w:pPr>
              <w:jc w:val="right"/>
              <w:rPr>
                <w:rFonts w:asciiTheme="minorHAnsi" w:hAnsiTheme="minorHAnsi" w:cs="Arial"/>
                <w:sz w:val="28"/>
                <w:szCs w:val="28"/>
                <w:lang w:val="hu-HU" w:eastAsia="hu-HU"/>
              </w:rPr>
            </w:pPr>
            <w:r w:rsidRPr="004364E5">
              <w:rPr>
                <w:rFonts w:asciiTheme="minorHAnsi" w:hAnsiTheme="minorHAnsi" w:cs="Arial"/>
                <w:sz w:val="28"/>
                <w:szCs w:val="28"/>
                <w:lang w:val="hu-HU" w:eastAsia="hu-HU"/>
              </w:rPr>
              <w:t>30.6%</w:t>
            </w:r>
          </w:p>
        </w:tc>
      </w:tr>
    </w:tbl>
    <w:p w:rsidR="00572A18" w:rsidRPr="004364E5" w:rsidRDefault="00572A18" w:rsidP="007C706E">
      <w:pPr>
        <w:spacing w:line="276" w:lineRule="auto"/>
        <w:rPr>
          <w:rFonts w:asciiTheme="minorHAnsi" w:eastAsia="Calibri" w:hAnsiTheme="minorHAnsi"/>
          <w:b/>
          <w:sz w:val="24"/>
          <w:szCs w:val="24"/>
        </w:rPr>
      </w:pPr>
    </w:p>
    <w:p w:rsidR="00A445CA" w:rsidRPr="004364E5" w:rsidRDefault="00A445CA" w:rsidP="007C706E">
      <w:pPr>
        <w:spacing w:line="276" w:lineRule="auto"/>
        <w:rPr>
          <w:rFonts w:asciiTheme="minorHAnsi" w:eastAsia="Calibri" w:hAnsiTheme="minorHAnsi"/>
          <w:b/>
          <w:sz w:val="24"/>
          <w:szCs w:val="24"/>
        </w:rPr>
      </w:pPr>
    </w:p>
    <w:p w:rsidR="00A445CA" w:rsidRPr="004364E5" w:rsidRDefault="00A445CA" w:rsidP="00A445CA">
      <w:pPr>
        <w:spacing w:line="276" w:lineRule="auto"/>
        <w:rPr>
          <w:rFonts w:asciiTheme="minorHAnsi" w:hAnsiTheme="minorHAnsi"/>
          <w:b/>
          <w:noProof/>
          <w:sz w:val="24"/>
          <w:szCs w:val="24"/>
          <w:lang w:val="hu-HU" w:eastAsia="hu-HU"/>
        </w:rPr>
      </w:pPr>
      <w:r w:rsidRPr="004364E5">
        <w:rPr>
          <w:rFonts w:asciiTheme="minorHAnsi" w:hAnsiTheme="minorHAnsi"/>
          <w:b/>
          <w:noProof/>
          <w:sz w:val="24"/>
          <w:szCs w:val="24"/>
          <w:lang w:val="hu-HU" w:eastAsia="hu-HU"/>
        </w:rPr>
        <w:t>Forrás: KSH és NGM</w:t>
      </w:r>
    </w:p>
    <w:p w:rsidR="00A445CA" w:rsidRPr="004364E5" w:rsidRDefault="00A445CA" w:rsidP="007C706E">
      <w:pPr>
        <w:spacing w:line="276" w:lineRule="auto"/>
        <w:rPr>
          <w:rFonts w:asciiTheme="minorHAnsi" w:eastAsia="Calibri" w:hAnsiTheme="minorHAnsi"/>
          <w:b/>
          <w:sz w:val="24"/>
          <w:szCs w:val="24"/>
        </w:rPr>
      </w:pPr>
    </w:p>
    <w:p w:rsidR="007C706E" w:rsidRPr="004364E5" w:rsidRDefault="007C706E" w:rsidP="00572A18">
      <w:pPr>
        <w:pStyle w:val="Listaszerbekezds"/>
        <w:numPr>
          <w:ilvl w:val="0"/>
          <w:numId w:val="3"/>
        </w:numPr>
        <w:spacing w:line="276" w:lineRule="auto"/>
        <w:rPr>
          <w:rFonts w:asciiTheme="minorHAnsi" w:eastAsia="Calibri" w:hAnsiTheme="minorHAnsi"/>
          <w:b/>
          <w:sz w:val="24"/>
          <w:szCs w:val="24"/>
        </w:rPr>
      </w:pPr>
      <w:r w:rsidRPr="004364E5">
        <w:rPr>
          <w:rFonts w:asciiTheme="minorHAnsi" w:eastAsia="Calibri" w:hAnsiTheme="minorHAnsi"/>
          <w:b/>
          <w:sz w:val="24"/>
          <w:szCs w:val="24"/>
        </w:rPr>
        <w:t xml:space="preserve">A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minimálbéres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foglalkoztatásban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kiemelkedő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ágazatok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bértermelékenysége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(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egységnyi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bérre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jutó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hozzáadott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értéke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)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Magyarországon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magasabb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, mint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Ausztriában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>.</w:t>
      </w:r>
      <w:r w:rsidR="00DB34B5" w:rsidRPr="004364E5">
        <w:rPr>
          <w:rFonts w:asciiTheme="minorHAnsi" w:eastAsia="Calibri" w:hAnsiTheme="minorHAnsi"/>
          <w:b/>
          <w:sz w:val="24"/>
          <w:szCs w:val="24"/>
        </w:rPr>
        <w:t xml:space="preserve"> A </w:t>
      </w:r>
      <w:proofErr w:type="spellStart"/>
      <w:r w:rsidR="00DB34B5" w:rsidRPr="004364E5">
        <w:rPr>
          <w:rFonts w:asciiTheme="minorHAnsi" w:eastAsia="Calibri" w:hAnsiTheme="minorHAnsi"/>
          <w:b/>
          <w:sz w:val="24"/>
          <w:szCs w:val="24"/>
        </w:rPr>
        <w:t>látszólag</w:t>
      </w:r>
      <w:proofErr w:type="spellEnd"/>
      <w:r w:rsidR="00DB34B5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DB34B5" w:rsidRPr="004364E5">
        <w:rPr>
          <w:rFonts w:asciiTheme="minorHAnsi" w:eastAsia="Calibri" w:hAnsiTheme="minorHAnsi"/>
          <w:b/>
          <w:sz w:val="24"/>
          <w:szCs w:val="24"/>
        </w:rPr>
        <w:t>kedvező</w:t>
      </w:r>
      <w:proofErr w:type="spellEnd"/>
      <w:r w:rsidR="00DB34B5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DB34B5" w:rsidRPr="004364E5">
        <w:rPr>
          <w:rFonts w:asciiTheme="minorHAnsi" w:eastAsia="Calibri" w:hAnsiTheme="minorHAnsi"/>
          <w:b/>
          <w:sz w:val="24"/>
          <w:szCs w:val="24"/>
        </w:rPr>
        <w:t>érték</w:t>
      </w:r>
      <w:proofErr w:type="spellEnd"/>
      <w:r w:rsidR="00DB34B5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DB34B5" w:rsidRPr="004364E5">
        <w:rPr>
          <w:rFonts w:asciiTheme="minorHAnsi" w:eastAsia="Calibri" w:hAnsiTheme="minorHAnsi"/>
          <w:b/>
          <w:sz w:val="24"/>
          <w:szCs w:val="24"/>
        </w:rPr>
        <w:t>alapvető</w:t>
      </w:r>
      <w:proofErr w:type="spellEnd"/>
      <w:r w:rsidR="00DB34B5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proofErr w:type="gramStart"/>
      <w:r w:rsidR="00DB34B5" w:rsidRPr="004364E5">
        <w:rPr>
          <w:rFonts w:asciiTheme="minorHAnsi" w:eastAsia="Calibri" w:hAnsiTheme="minorHAnsi"/>
          <w:b/>
          <w:sz w:val="24"/>
          <w:szCs w:val="24"/>
        </w:rPr>
        <w:t>oka</w:t>
      </w:r>
      <w:proofErr w:type="spellEnd"/>
      <w:proofErr w:type="gramEnd"/>
      <w:r w:rsidR="00DB34B5" w:rsidRPr="004364E5">
        <w:rPr>
          <w:rFonts w:asciiTheme="minorHAnsi" w:eastAsia="Calibri" w:hAnsiTheme="minorHAnsi"/>
          <w:b/>
          <w:sz w:val="24"/>
          <w:szCs w:val="24"/>
        </w:rPr>
        <w:t xml:space="preserve">, a </w:t>
      </w:r>
      <w:proofErr w:type="spellStart"/>
      <w:r w:rsidR="00DB34B5" w:rsidRPr="004364E5">
        <w:rPr>
          <w:rFonts w:asciiTheme="minorHAnsi" w:eastAsia="Calibri" w:hAnsiTheme="minorHAnsi"/>
          <w:b/>
          <w:sz w:val="24"/>
          <w:szCs w:val="24"/>
        </w:rPr>
        <w:t>hazai</w:t>
      </w:r>
      <w:proofErr w:type="spellEnd"/>
      <w:r w:rsidR="00DB34B5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DB34B5" w:rsidRPr="004364E5">
        <w:rPr>
          <w:rFonts w:asciiTheme="minorHAnsi" w:eastAsia="Calibri" w:hAnsiTheme="minorHAnsi"/>
          <w:b/>
          <w:sz w:val="24"/>
          <w:szCs w:val="24"/>
        </w:rPr>
        <w:t>nyomott</w:t>
      </w:r>
      <w:proofErr w:type="spellEnd"/>
      <w:r w:rsidR="00DB34B5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DB34B5" w:rsidRPr="004364E5">
        <w:rPr>
          <w:rFonts w:asciiTheme="minorHAnsi" w:eastAsia="Calibri" w:hAnsiTheme="minorHAnsi"/>
          <w:b/>
          <w:sz w:val="24"/>
          <w:szCs w:val="24"/>
        </w:rPr>
        <w:t>bérszínvonal</w:t>
      </w:r>
      <w:proofErr w:type="spellEnd"/>
      <w:r w:rsidR="00DB34B5" w:rsidRPr="004364E5">
        <w:rPr>
          <w:rFonts w:asciiTheme="minorHAnsi" w:eastAsia="Calibri" w:hAnsiTheme="minorHAnsi"/>
          <w:b/>
          <w:sz w:val="24"/>
          <w:szCs w:val="24"/>
        </w:rPr>
        <w:t>.</w:t>
      </w:r>
      <w:r w:rsidR="00804F37"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</w:p>
    <w:p w:rsidR="00804F37" w:rsidRPr="004364E5" w:rsidRDefault="00804F37" w:rsidP="00572A18">
      <w:pPr>
        <w:pStyle w:val="Listaszerbekezds"/>
        <w:numPr>
          <w:ilvl w:val="0"/>
          <w:numId w:val="3"/>
        </w:numPr>
        <w:spacing w:line="276" w:lineRule="auto"/>
        <w:rPr>
          <w:rFonts w:asciiTheme="minorHAnsi" w:eastAsia="Calibri" w:hAnsiTheme="minorHAnsi"/>
          <w:b/>
          <w:sz w:val="24"/>
          <w:szCs w:val="24"/>
        </w:rPr>
      </w:pPr>
      <w:r w:rsidRPr="004364E5">
        <w:rPr>
          <w:rFonts w:asciiTheme="minorHAnsi" w:eastAsia="Calibri" w:hAnsiTheme="minorHAnsi"/>
          <w:b/>
          <w:sz w:val="24"/>
          <w:szCs w:val="24"/>
        </w:rPr>
        <w:t xml:space="preserve">A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magasabb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produktív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bérek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a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kereslet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oldaláról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a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kibocsátást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és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ezáltal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a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termelékenyésge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is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javítják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a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szolgáltatásokban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>.</w:t>
      </w:r>
    </w:p>
    <w:p w:rsidR="00804F37" w:rsidRPr="004364E5" w:rsidRDefault="00804F37" w:rsidP="00572A18">
      <w:pPr>
        <w:pStyle w:val="Listaszerbekezds"/>
        <w:numPr>
          <w:ilvl w:val="0"/>
          <w:numId w:val="3"/>
        </w:numPr>
        <w:spacing w:line="276" w:lineRule="auto"/>
        <w:rPr>
          <w:rFonts w:asciiTheme="minorHAnsi" w:eastAsia="Calibri" w:hAnsiTheme="minorHAnsi"/>
          <w:b/>
          <w:sz w:val="24"/>
          <w:szCs w:val="24"/>
        </w:rPr>
      </w:pPr>
      <w:r w:rsidRPr="004364E5">
        <w:rPr>
          <w:rFonts w:asciiTheme="minorHAnsi" w:eastAsia="Calibri" w:hAnsiTheme="minorHAnsi"/>
          <w:b/>
          <w:sz w:val="24"/>
          <w:szCs w:val="24"/>
        </w:rPr>
        <w:t xml:space="preserve">A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közszféra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termelékenysége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pedig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kifejezetten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proofErr w:type="gramStart"/>
      <w:r w:rsidRPr="004364E5">
        <w:rPr>
          <w:rFonts w:asciiTheme="minorHAnsi" w:eastAsia="Calibri" w:hAnsiTheme="minorHAnsi"/>
          <w:b/>
          <w:sz w:val="24"/>
          <w:szCs w:val="24"/>
        </w:rPr>
        <w:t>az</w:t>
      </w:r>
      <w:proofErr w:type="spellEnd"/>
      <w:proofErr w:type="gram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ott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dolgozók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bérétől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is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függ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,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hiszen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a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kibocsátás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jóval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nagyobb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része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a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bérköltség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>.</w:t>
      </w:r>
    </w:p>
    <w:p w:rsidR="007C706E" w:rsidRPr="004364E5" w:rsidRDefault="007C706E" w:rsidP="007C706E">
      <w:pPr>
        <w:spacing w:line="276" w:lineRule="auto"/>
        <w:rPr>
          <w:rFonts w:asciiTheme="minorHAnsi" w:eastAsia="Calibri" w:hAnsiTheme="minorHAnsi"/>
          <w:b/>
          <w:sz w:val="24"/>
          <w:szCs w:val="24"/>
        </w:rPr>
      </w:pPr>
    </w:p>
    <w:tbl>
      <w:tblPr>
        <w:tblW w:w="98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1444"/>
        <w:gridCol w:w="1401"/>
        <w:gridCol w:w="1431"/>
        <w:gridCol w:w="1301"/>
        <w:gridCol w:w="1251"/>
        <w:gridCol w:w="1310"/>
        <w:gridCol w:w="1430"/>
      </w:tblGrid>
      <w:tr w:rsidR="007C706E" w:rsidRPr="004364E5" w:rsidTr="007C706E">
        <w:trPr>
          <w:trHeight w:val="30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06E" w:rsidRPr="004364E5" w:rsidRDefault="007C706E" w:rsidP="007C706E">
            <w:pPr>
              <w:rPr>
                <w:rFonts w:ascii="Calibri" w:hAnsi="Calibri"/>
                <w:color w:val="000000"/>
                <w:sz w:val="18"/>
                <w:szCs w:val="18"/>
                <w:lang w:val="hu-HU" w:eastAsia="hu-HU"/>
              </w:rPr>
            </w:pPr>
            <w:r w:rsidRPr="004364E5">
              <w:rPr>
                <w:rFonts w:ascii="Calibri" w:hAnsi="Calibri"/>
                <w:noProof/>
                <w:color w:val="000000"/>
                <w:sz w:val="18"/>
                <w:szCs w:val="18"/>
                <w:lang w:val="hu-HU" w:eastAsia="hu-HU"/>
              </w:rPr>
              <w:drawing>
                <wp:anchor distT="0" distB="0" distL="114300" distR="114300" simplePos="0" relativeHeight="251669504" behindDoc="0" locked="0" layoutInCell="1" allowOverlap="1" wp14:anchorId="7B41102E" wp14:editId="0A16A0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38125"/>
                  <wp:effectExtent l="0" t="0" r="9525" b="9525"/>
                  <wp:wrapNone/>
                  <wp:docPr id="14" name="Kép 1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1">
                            <a:extLst>
                              <a:ext uri="{63B3BB69-23CF-44E3-9099-C40C66FF867C}">
                                <a14:compatExt xmlns:a14="http://schemas.microsoft.com/office/drawing/2010/main" spid="_x0000_s102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4E5">
              <w:rPr>
                <w:rFonts w:ascii="Calibri" w:hAnsi="Calibri"/>
                <w:noProof/>
                <w:color w:val="000000"/>
                <w:sz w:val="18"/>
                <w:szCs w:val="18"/>
                <w:lang w:val="hu-HU" w:eastAsia="hu-HU"/>
              </w:rPr>
              <w:drawing>
                <wp:anchor distT="0" distB="0" distL="114300" distR="114300" simplePos="0" relativeHeight="251670528" behindDoc="0" locked="0" layoutInCell="1" allowOverlap="1" wp14:anchorId="210B0AA8" wp14:editId="3FA486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38125"/>
                  <wp:effectExtent l="0" t="0" r="9525" b="9525"/>
                  <wp:wrapNone/>
                  <wp:docPr id="13" name="Kép 1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4E5">
              <w:rPr>
                <w:rFonts w:ascii="Calibri" w:hAnsi="Calibri"/>
                <w:noProof/>
                <w:color w:val="000000"/>
                <w:sz w:val="18"/>
                <w:szCs w:val="18"/>
                <w:lang w:val="hu-HU" w:eastAsia="hu-HU"/>
              </w:rPr>
              <w:drawing>
                <wp:anchor distT="0" distB="0" distL="114300" distR="114300" simplePos="0" relativeHeight="251671552" behindDoc="0" locked="0" layoutInCell="1" allowOverlap="1" wp14:anchorId="25CD9FCA" wp14:editId="5C77BE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38125"/>
                  <wp:effectExtent l="0" t="0" r="9525" b="9525"/>
                  <wp:wrapNone/>
                  <wp:docPr id="12" name="Kép 1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"/>
            </w:tblGrid>
            <w:tr w:rsidR="007C706E" w:rsidRPr="004364E5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706E" w:rsidRPr="004364E5" w:rsidRDefault="007C706E" w:rsidP="007C706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u-HU" w:eastAsia="hu-HU"/>
                    </w:rPr>
                  </w:pPr>
                </w:p>
              </w:tc>
            </w:tr>
          </w:tbl>
          <w:p w:rsidR="007C706E" w:rsidRPr="004364E5" w:rsidRDefault="007C706E" w:rsidP="007C706E">
            <w:pPr>
              <w:rPr>
                <w:rFonts w:ascii="Calibri" w:hAnsi="Calibri"/>
                <w:color w:val="000000"/>
                <w:sz w:val="18"/>
                <w:szCs w:val="18"/>
                <w:lang w:val="hu-HU" w:eastAsia="hu-HU"/>
              </w:rPr>
            </w:pPr>
          </w:p>
        </w:tc>
        <w:tc>
          <w:tcPr>
            <w:tcW w:w="870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6E" w:rsidRPr="004364E5" w:rsidRDefault="007C706E" w:rsidP="007C706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hu-HU" w:eastAsia="hu-HU"/>
              </w:rPr>
            </w:pPr>
            <w:r w:rsidRPr="004364E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hu-HU" w:eastAsia="hu-HU"/>
              </w:rPr>
              <w:t>Az egységnyi bérre jutó termelékenység nagysága - Magyarország-Ausztria</w:t>
            </w:r>
          </w:p>
          <w:p w:rsidR="007C706E" w:rsidRPr="004364E5" w:rsidRDefault="007C706E" w:rsidP="007C706E">
            <w:pPr>
              <w:rPr>
                <w:rFonts w:ascii="Calibri" w:hAnsi="Calibri"/>
                <w:color w:val="000000"/>
                <w:sz w:val="18"/>
                <w:szCs w:val="18"/>
                <w:lang w:val="hu-HU" w:eastAsia="hu-HU"/>
              </w:rPr>
            </w:pPr>
            <w:r w:rsidRPr="004364E5">
              <w:rPr>
                <w:rFonts w:ascii="Calibri" w:hAnsi="Calibri"/>
                <w:color w:val="000000"/>
                <w:sz w:val="18"/>
                <w:szCs w:val="18"/>
                <w:lang w:val="hu-HU" w:eastAsia="hu-HU"/>
              </w:rPr>
              <w:t> </w:t>
            </w:r>
          </w:p>
        </w:tc>
      </w:tr>
      <w:tr w:rsidR="007C706E" w:rsidRPr="004364E5" w:rsidTr="007C706E">
        <w:trPr>
          <w:trHeight w:val="1215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6E" w:rsidRPr="004364E5" w:rsidRDefault="007C706E" w:rsidP="007C70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6E" w:rsidRPr="004364E5" w:rsidRDefault="007C706E" w:rsidP="007C706E">
            <w:pPr>
              <w:rPr>
                <w:rFonts w:ascii="Arial" w:hAnsi="Arial" w:cs="Arial"/>
                <w:color w:val="000000"/>
                <w:sz w:val="18"/>
                <w:szCs w:val="18"/>
                <w:lang w:val="hu-HU" w:eastAsia="hu-HU"/>
              </w:rPr>
            </w:pPr>
            <w:proofErr w:type="spellStart"/>
            <w:r w:rsidRPr="004364E5">
              <w:rPr>
                <w:rFonts w:ascii="Arial" w:hAnsi="Arial" w:cs="Arial"/>
                <w:color w:val="000000"/>
                <w:sz w:val="18"/>
                <w:szCs w:val="18"/>
                <w:lang w:val="hu-HU" w:eastAsia="hu-HU"/>
              </w:rPr>
              <w:t>Administrative</w:t>
            </w:r>
            <w:proofErr w:type="spellEnd"/>
            <w:r w:rsidRPr="004364E5">
              <w:rPr>
                <w:rFonts w:ascii="Arial" w:hAnsi="Arial" w:cs="Arial"/>
                <w:color w:val="000000"/>
                <w:sz w:val="18"/>
                <w:szCs w:val="18"/>
                <w:lang w:val="hu-HU" w:eastAsia="hu-HU"/>
              </w:rPr>
              <w:t xml:space="preserve"> and </w:t>
            </w:r>
            <w:proofErr w:type="spellStart"/>
            <w:r w:rsidRPr="004364E5">
              <w:rPr>
                <w:rFonts w:ascii="Arial" w:hAnsi="Arial" w:cs="Arial"/>
                <w:color w:val="000000"/>
                <w:sz w:val="18"/>
                <w:szCs w:val="18"/>
                <w:lang w:val="hu-HU" w:eastAsia="hu-HU"/>
              </w:rPr>
              <w:t>support</w:t>
            </w:r>
            <w:proofErr w:type="spellEnd"/>
            <w:r w:rsidRPr="004364E5">
              <w:rPr>
                <w:rFonts w:ascii="Arial" w:hAnsi="Arial" w:cs="Arial"/>
                <w:color w:val="000000"/>
                <w:sz w:val="18"/>
                <w:szCs w:val="18"/>
                <w:lang w:val="hu-HU" w:eastAsia="hu-HU"/>
              </w:rPr>
              <w:t xml:space="preserve"> service </w:t>
            </w:r>
            <w:proofErr w:type="spellStart"/>
            <w:r w:rsidRPr="004364E5">
              <w:rPr>
                <w:rFonts w:ascii="Arial" w:hAnsi="Arial" w:cs="Arial"/>
                <w:color w:val="000000"/>
                <w:sz w:val="18"/>
                <w:szCs w:val="18"/>
                <w:lang w:val="hu-HU" w:eastAsia="hu-HU"/>
              </w:rPr>
              <w:t>activities</w:t>
            </w:r>
            <w:proofErr w:type="spellEnd"/>
            <w:r w:rsidRPr="004364E5">
              <w:rPr>
                <w:rFonts w:ascii="Arial" w:hAnsi="Arial" w:cs="Arial"/>
                <w:color w:val="000000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6E" w:rsidRPr="004364E5" w:rsidRDefault="007C706E" w:rsidP="007C706E">
            <w:pPr>
              <w:rPr>
                <w:rFonts w:ascii="Arial" w:hAnsi="Arial" w:cs="Arial"/>
                <w:color w:val="000000"/>
                <w:sz w:val="18"/>
                <w:szCs w:val="18"/>
                <w:lang w:val="hu-HU" w:eastAsia="hu-HU"/>
              </w:rPr>
            </w:pPr>
            <w:proofErr w:type="spellStart"/>
            <w:r w:rsidRPr="004364E5">
              <w:rPr>
                <w:rFonts w:ascii="Arial" w:hAnsi="Arial" w:cs="Arial"/>
                <w:color w:val="000000"/>
                <w:sz w:val="18"/>
                <w:szCs w:val="18"/>
                <w:lang w:val="hu-HU" w:eastAsia="hu-HU"/>
              </w:rPr>
              <w:t>Information</w:t>
            </w:r>
            <w:proofErr w:type="spellEnd"/>
            <w:r w:rsidRPr="004364E5">
              <w:rPr>
                <w:rFonts w:ascii="Arial" w:hAnsi="Arial" w:cs="Arial"/>
                <w:color w:val="000000"/>
                <w:sz w:val="18"/>
                <w:szCs w:val="18"/>
                <w:lang w:val="hu-HU" w:eastAsia="hu-HU"/>
              </w:rPr>
              <w:t xml:space="preserve"> and </w:t>
            </w:r>
            <w:proofErr w:type="spellStart"/>
            <w:r w:rsidRPr="004364E5">
              <w:rPr>
                <w:rFonts w:ascii="Arial" w:hAnsi="Arial" w:cs="Arial"/>
                <w:color w:val="000000"/>
                <w:sz w:val="18"/>
                <w:szCs w:val="18"/>
                <w:lang w:val="hu-HU" w:eastAsia="hu-HU"/>
              </w:rPr>
              <w:t>communication</w:t>
            </w:r>
            <w:proofErr w:type="spellEnd"/>
            <w:r w:rsidRPr="004364E5">
              <w:rPr>
                <w:rFonts w:ascii="Arial" w:hAnsi="Arial" w:cs="Arial"/>
                <w:color w:val="000000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6E" w:rsidRPr="004364E5" w:rsidRDefault="007C706E" w:rsidP="007C706E">
            <w:pPr>
              <w:rPr>
                <w:rFonts w:ascii="Arial" w:hAnsi="Arial" w:cs="Arial"/>
                <w:color w:val="000000"/>
                <w:sz w:val="18"/>
                <w:szCs w:val="18"/>
                <w:lang w:val="hu-HU" w:eastAsia="hu-HU"/>
              </w:rPr>
            </w:pPr>
            <w:proofErr w:type="spellStart"/>
            <w:r w:rsidRPr="004364E5">
              <w:rPr>
                <w:rFonts w:ascii="Arial" w:hAnsi="Arial" w:cs="Arial"/>
                <w:color w:val="000000"/>
                <w:sz w:val="18"/>
                <w:szCs w:val="18"/>
                <w:lang w:val="hu-HU" w:eastAsia="hu-HU"/>
              </w:rPr>
              <w:t>Accommodation</w:t>
            </w:r>
            <w:proofErr w:type="spellEnd"/>
            <w:r w:rsidRPr="004364E5">
              <w:rPr>
                <w:rFonts w:ascii="Arial" w:hAnsi="Arial" w:cs="Arial"/>
                <w:color w:val="000000"/>
                <w:sz w:val="18"/>
                <w:szCs w:val="18"/>
                <w:lang w:val="hu-HU" w:eastAsia="hu-HU"/>
              </w:rPr>
              <w:t xml:space="preserve"> and </w:t>
            </w:r>
            <w:proofErr w:type="spellStart"/>
            <w:r w:rsidRPr="004364E5">
              <w:rPr>
                <w:rFonts w:ascii="Arial" w:hAnsi="Arial" w:cs="Arial"/>
                <w:color w:val="000000"/>
                <w:sz w:val="18"/>
                <w:szCs w:val="18"/>
                <w:lang w:val="hu-HU" w:eastAsia="hu-HU"/>
              </w:rPr>
              <w:t>food</w:t>
            </w:r>
            <w:proofErr w:type="spellEnd"/>
            <w:r w:rsidRPr="004364E5">
              <w:rPr>
                <w:rFonts w:ascii="Arial" w:hAnsi="Arial" w:cs="Arial"/>
                <w:color w:val="000000"/>
                <w:sz w:val="18"/>
                <w:szCs w:val="18"/>
                <w:lang w:val="hu-HU" w:eastAsia="hu-HU"/>
              </w:rPr>
              <w:t xml:space="preserve"> service </w:t>
            </w:r>
            <w:proofErr w:type="spellStart"/>
            <w:r w:rsidRPr="004364E5">
              <w:rPr>
                <w:rFonts w:ascii="Arial" w:hAnsi="Arial" w:cs="Arial"/>
                <w:color w:val="000000"/>
                <w:sz w:val="18"/>
                <w:szCs w:val="18"/>
                <w:lang w:val="hu-HU" w:eastAsia="hu-HU"/>
              </w:rPr>
              <w:t>activities</w:t>
            </w:r>
            <w:proofErr w:type="spellEnd"/>
            <w:r w:rsidRPr="004364E5">
              <w:rPr>
                <w:rFonts w:ascii="Arial" w:hAnsi="Arial" w:cs="Arial"/>
                <w:color w:val="000000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6E" w:rsidRPr="004364E5" w:rsidRDefault="007C706E" w:rsidP="007C706E">
            <w:pPr>
              <w:rPr>
                <w:rFonts w:ascii="Arial" w:hAnsi="Arial" w:cs="Arial"/>
                <w:color w:val="000000"/>
                <w:sz w:val="18"/>
                <w:szCs w:val="18"/>
                <w:lang w:val="hu-HU" w:eastAsia="hu-HU"/>
              </w:rPr>
            </w:pPr>
            <w:proofErr w:type="spellStart"/>
            <w:r w:rsidRPr="004364E5">
              <w:rPr>
                <w:rFonts w:ascii="Arial" w:hAnsi="Arial" w:cs="Arial"/>
                <w:color w:val="000000"/>
                <w:sz w:val="18"/>
                <w:szCs w:val="18"/>
                <w:lang w:val="hu-HU" w:eastAsia="hu-HU"/>
              </w:rPr>
              <w:t>Transportation</w:t>
            </w:r>
            <w:proofErr w:type="spellEnd"/>
            <w:r w:rsidRPr="004364E5">
              <w:rPr>
                <w:rFonts w:ascii="Arial" w:hAnsi="Arial" w:cs="Arial"/>
                <w:color w:val="000000"/>
                <w:sz w:val="18"/>
                <w:szCs w:val="18"/>
                <w:lang w:val="hu-HU" w:eastAsia="hu-HU"/>
              </w:rPr>
              <w:t xml:space="preserve"> and </w:t>
            </w:r>
            <w:proofErr w:type="spellStart"/>
            <w:r w:rsidRPr="004364E5">
              <w:rPr>
                <w:rFonts w:ascii="Arial" w:hAnsi="Arial" w:cs="Arial"/>
                <w:color w:val="000000"/>
                <w:sz w:val="18"/>
                <w:szCs w:val="18"/>
                <w:lang w:val="hu-HU" w:eastAsia="hu-HU"/>
              </w:rPr>
              <w:t>storage</w:t>
            </w:r>
            <w:proofErr w:type="spellEnd"/>
            <w:r w:rsidRPr="004364E5">
              <w:rPr>
                <w:rFonts w:ascii="Arial" w:hAnsi="Arial" w:cs="Arial"/>
                <w:color w:val="000000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6E" w:rsidRPr="004364E5" w:rsidRDefault="007C706E" w:rsidP="007C70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u-HU" w:eastAsia="hu-HU"/>
              </w:rPr>
            </w:pPr>
            <w:proofErr w:type="spellStart"/>
            <w:r w:rsidRPr="004364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u-HU" w:eastAsia="hu-HU"/>
              </w:rPr>
              <w:t>Wholesale</w:t>
            </w:r>
            <w:proofErr w:type="spellEnd"/>
            <w:r w:rsidRPr="004364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u-HU" w:eastAsia="hu-HU"/>
              </w:rPr>
              <w:t xml:space="preserve"> and </w:t>
            </w:r>
            <w:proofErr w:type="spellStart"/>
            <w:r w:rsidRPr="004364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u-HU" w:eastAsia="hu-HU"/>
              </w:rPr>
              <w:t>retail</w:t>
            </w:r>
            <w:proofErr w:type="spellEnd"/>
            <w:r w:rsidRPr="004364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u-HU" w:eastAsia="hu-HU"/>
              </w:rPr>
              <w:t xml:space="preserve"> trade; </w:t>
            </w:r>
            <w:proofErr w:type="spellStart"/>
            <w:r w:rsidRPr="004364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u-HU" w:eastAsia="hu-HU"/>
              </w:rPr>
              <w:t>repair</w:t>
            </w:r>
            <w:proofErr w:type="spellEnd"/>
            <w:r w:rsidRPr="004364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u-HU" w:eastAsia="hu-HU"/>
              </w:rPr>
              <w:t xml:space="preserve"> of motor </w:t>
            </w:r>
            <w:proofErr w:type="spellStart"/>
            <w:r w:rsidRPr="004364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u-HU" w:eastAsia="hu-HU"/>
              </w:rPr>
              <w:t>vehicles</w:t>
            </w:r>
            <w:proofErr w:type="spellEnd"/>
            <w:r w:rsidRPr="004364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u-HU" w:eastAsia="hu-HU"/>
              </w:rPr>
              <w:t xml:space="preserve"> and </w:t>
            </w:r>
            <w:proofErr w:type="spellStart"/>
            <w:r w:rsidRPr="004364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u-HU" w:eastAsia="hu-HU"/>
              </w:rPr>
              <w:t>motorcycles</w:t>
            </w:r>
            <w:proofErr w:type="spellEnd"/>
            <w:r w:rsidRPr="004364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6E" w:rsidRPr="004364E5" w:rsidRDefault="007C706E" w:rsidP="007C70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u-HU" w:eastAsia="hu-HU"/>
              </w:rPr>
            </w:pPr>
            <w:proofErr w:type="spellStart"/>
            <w:r w:rsidRPr="004364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u-HU" w:eastAsia="hu-HU"/>
              </w:rPr>
              <w:t>Construction</w:t>
            </w:r>
            <w:proofErr w:type="spellEnd"/>
            <w:r w:rsidRPr="004364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06E" w:rsidRPr="004364E5" w:rsidRDefault="007C706E" w:rsidP="007C70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u-HU" w:eastAsia="hu-HU"/>
              </w:rPr>
            </w:pPr>
            <w:proofErr w:type="spellStart"/>
            <w:r w:rsidRPr="004364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u-HU" w:eastAsia="hu-HU"/>
              </w:rPr>
              <w:t>Manufacturing</w:t>
            </w:r>
            <w:proofErr w:type="spellEnd"/>
            <w:r w:rsidRPr="004364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u-HU" w:eastAsia="hu-HU"/>
              </w:rPr>
              <w:t> </w:t>
            </w:r>
          </w:p>
        </w:tc>
      </w:tr>
      <w:tr w:rsidR="007C706E" w:rsidRPr="004364E5" w:rsidTr="007C706E">
        <w:trPr>
          <w:trHeight w:val="300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6E" w:rsidRPr="004364E5" w:rsidRDefault="007C706E" w:rsidP="007C706E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u-HU" w:eastAsia="hu-HU"/>
              </w:rPr>
              <w:t>Hungary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6E" w:rsidRPr="004364E5" w:rsidRDefault="007C706E" w:rsidP="007C70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u-HU" w:eastAsia="hu-HU"/>
              </w:rPr>
            </w:pPr>
            <w:r w:rsidRPr="004364E5">
              <w:rPr>
                <w:rFonts w:ascii="Arial" w:hAnsi="Arial" w:cs="Arial"/>
                <w:color w:val="000000"/>
                <w:sz w:val="18"/>
                <w:szCs w:val="18"/>
                <w:lang w:val="hu-HU" w:eastAsia="hu-HU"/>
              </w:rPr>
              <w:t>140.3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6E" w:rsidRPr="004364E5" w:rsidRDefault="007C706E" w:rsidP="007C70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lang w:val="hu-HU" w:eastAsia="hu-HU"/>
              </w:rPr>
              <w:t>167.7 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6E" w:rsidRPr="004364E5" w:rsidRDefault="007C706E" w:rsidP="007C70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u-HU" w:eastAsia="hu-HU"/>
              </w:rPr>
            </w:pPr>
            <w:r w:rsidRPr="004364E5">
              <w:rPr>
                <w:rFonts w:ascii="Arial" w:hAnsi="Arial" w:cs="Arial"/>
                <w:color w:val="000000"/>
                <w:sz w:val="18"/>
                <w:szCs w:val="18"/>
                <w:lang w:val="hu-HU" w:eastAsia="hu-HU"/>
              </w:rPr>
              <w:t>102.7 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6E" w:rsidRPr="004364E5" w:rsidRDefault="007C706E" w:rsidP="007C70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u-HU" w:eastAsia="hu-HU"/>
              </w:rPr>
            </w:pPr>
            <w:r w:rsidRPr="004364E5">
              <w:rPr>
                <w:rFonts w:ascii="Arial" w:hAnsi="Arial" w:cs="Arial"/>
                <w:color w:val="000000"/>
                <w:sz w:val="18"/>
                <w:szCs w:val="18"/>
                <w:lang w:val="hu-HU" w:eastAsia="hu-HU"/>
              </w:rPr>
              <w:t>148.8 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6E" w:rsidRPr="004364E5" w:rsidRDefault="007C706E" w:rsidP="007C70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hu-HU" w:eastAsia="hu-HU"/>
              </w:rPr>
              <w:t>146.0 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6E" w:rsidRPr="004364E5" w:rsidRDefault="007C706E" w:rsidP="007C70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lang w:val="hu-HU" w:eastAsia="hu-HU"/>
              </w:rPr>
              <w:t>146.1 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6E" w:rsidRPr="004364E5" w:rsidRDefault="007C706E" w:rsidP="007C70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lang w:val="hu-HU" w:eastAsia="hu-HU"/>
              </w:rPr>
              <w:t>211.7 </w:t>
            </w:r>
          </w:p>
        </w:tc>
      </w:tr>
      <w:tr w:rsidR="007C706E" w:rsidRPr="004364E5" w:rsidTr="007C706E">
        <w:trPr>
          <w:trHeight w:val="300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6E" w:rsidRPr="004364E5" w:rsidRDefault="007C706E" w:rsidP="007C706E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u-HU" w:eastAsia="hu-HU"/>
              </w:rPr>
            </w:pPr>
            <w:proofErr w:type="spellStart"/>
            <w:r w:rsidRPr="004364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u-HU" w:eastAsia="hu-HU"/>
              </w:rPr>
              <w:t>Austria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6E" w:rsidRPr="004364E5" w:rsidRDefault="007C706E" w:rsidP="007C70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u-HU" w:eastAsia="hu-HU"/>
              </w:rPr>
            </w:pPr>
            <w:r w:rsidRPr="004364E5">
              <w:rPr>
                <w:rFonts w:ascii="Arial" w:hAnsi="Arial" w:cs="Arial"/>
                <w:color w:val="000000"/>
                <w:sz w:val="18"/>
                <w:szCs w:val="18"/>
                <w:lang w:val="hu-HU" w:eastAsia="hu-HU"/>
              </w:rPr>
              <w:t>149.9 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6E" w:rsidRPr="004364E5" w:rsidRDefault="007C706E" w:rsidP="007C70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hu-HU" w:eastAsia="hu-HU"/>
              </w:rPr>
              <w:t>128.1 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6E" w:rsidRPr="004364E5" w:rsidRDefault="007C706E" w:rsidP="007C70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u-HU" w:eastAsia="hu-HU"/>
              </w:rPr>
            </w:pPr>
            <w:r w:rsidRPr="004364E5">
              <w:rPr>
                <w:rFonts w:ascii="Arial" w:hAnsi="Arial" w:cs="Arial"/>
                <w:color w:val="000000"/>
                <w:sz w:val="18"/>
                <w:szCs w:val="18"/>
                <w:lang w:val="hu-HU" w:eastAsia="hu-HU"/>
              </w:rPr>
              <w:t>124.7 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6E" w:rsidRPr="004364E5" w:rsidRDefault="007C706E" w:rsidP="007C70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u-HU" w:eastAsia="hu-HU"/>
              </w:rPr>
            </w:pPr>
            <w:r w:rsidRPr="004364E5">
              <w:rPr>
                <w:rFonts w:ascii="Arial" w:hAnsi="Arial" w:cs="Arial"/>
                <w:color w:val="000000"/>
                <w:sz w:val="18"/>
                <w:szCs w:val="18"/>
                <w:lang w:val="hu-HU" w:eastAsia="hu-HU"/>
              </w:rPr>
              <w:t>164.3 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6E" w:rsidRPr="004364E5" w:rsidRDefault="007C706E" w:rsidP="007C70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hu-HU" w:eastAsia="hu-HU"/>
              </w:rPr>
              <w:t>129.2 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6E" w:rsidRPr="004364E5" w:rsidRDefault="007C706E" w:rsidP="007C70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hu-HU" w:eastAsia="hu-HU"/>
              </w:rPr>
              <w:t>124.0 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6E" w:rsidRPr="004364E5" w:rsidRDefault="007C706E" w:rsidP="007C706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hu-HU" w:eastAsia="hu-HU"/>
              </w:rPr>
              <w:t>142.9 </w:t>
            </w:r>
          </w:p>
        </w:tc>
      </w:tr>
      <w:tr w:rsidR="007C706E" w:rsidRPr="004364E5" w:rsidTr="007C706E">
        <w:trPr>
          <w:trHeight w:val="300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6E" w:rsidRPr="004364E5" w:rsidRDefault="007C706E" w:rsidP="007C706E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u-HU" w:eastAsia="hu-HU"/>
              </w:rPr>
            </w:pPr>
            <w:proofErr w:type="spellStart"/>
            <w:r w:rsidRPr="004364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u-HU" w:eastAsia="hu-HU"/>
              </w:rPr>
              <w:t>Poland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6E" w:rsidRPr="004364E5" w:rsidRDefault="007C706E" w:rsidP="007C70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u-HU" w:eastAsia="hu-HU"/>
              </w:rPr>
            </w:pPr>
            <w:r w:rsidRPr="004364E5">
              <w:rPr>
                <w:rFonts w:ascii="Arial" w:hAnsi="Arial" w:cs="Arial"/>
                <w:color w:val="000000"/>
                <w:sz w:val="18"/>
                <w:szCs w:val="18"/>
                <w:lang w:val="hu-HU" w:eastAsia="hu-HU"/>
              </w:rPr>
              <w:t>135.9 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6E" w:rsidRPr="004364E5" w:rsidRDefault="007C706E" w:rsidP="007C7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color w:val="FF0000"/>
                <w:sz w:val="18"/>
                <w:szCs w:val="18"/>
                <w:lang w:val="hu-HU" w:eastAsia="hu-HU"/>
              </w:rPr>
              <w:t>183.3 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6E" w:rsidRPr="004364E5" w:rsidRDefault="007C706E" w:rsidP="007C70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u-HU" w:eastAsia="hu-HU"/>
              </w:rPr>
            </w:pPr>
            <w:r w:rsidRPr="004364E5">
              <w:rPr>
                <w:rFonts w:ascii="Arial" w:hAnsi="Arial" w:cs="Arial"/>
                <w:color w:val="000000"/>
                <w:sz w:val="18"/>
                <w:szCs w:val="18"/>
                <w:lang w:val="hu-HU" w:eastAsia="hu-HU"/>
              </w:rPr>
              <w:t>125.1 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6E" w:rsidRPr="004364E5" w:rsidRDefault="007C706E" w:rsidP="007C70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u-HU" w:eastAsia="hu-HU"/>
              </w:rPr>
            </w:pPr>
            <w:r w:rsidRPr="004364E5">
              <w:rPr>
                <w:rFonts w:ascii="Arial" w:hAnsi="Arial" w:cs="Arial"/>
                <w:color w:val="000000"/>
                <w:sz w:val="18"/>
                <w:szCs w:val="18"/>
                <w:lang w:val="hu-HU" w:eastAsia="hu-HU"/>
              </w:rPr>
              <w:t>152.6 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6E" w:rsidRPr="004364E5" w:rsidRDefault="007C706E" w:rsidP="007C7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color w:val="000000"/>
                <w:sz w:val="18"/>
                <w:szCs w:val="18"/>
                <w:lang w:val="hu-HU" w:eastAsia="hu-HU"/>
              </w:rPr>
              <w:t>154.7 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6E" w:rsidRPr="004364E5" w:rsidRDefault="007C706E" w:rsidP="007C7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color w:val="000000"/>
                <w:sz w:val="18"/>
                <w:szCs w:val="18"/>
                <w:lang w:val="hu-HU" w:eastAsia="hu-HU"/>
              </w:rPr>
              <w:t>176.4 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6E" w:rsidRPr="004364E5" w:rsidRDefault="007C706E" w:rsidP="007C7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color w:val="000000"/>
                <w:sz w:val="18"/>
                <w:szCs w:val="18"/>
                <w:lang w:val="hu-HU" w:eastAsia="hu-HU"/>
              </w:rPr>
              <w:t>193.0 </w:t>
            </w:r>
          </w:p>
        </w:tc>
      </w:tr>
      <w:tr w:rsidR="007C706E" w:rsidRPr="004364E5" w:rsidTr="007C706E">
        <w:trPr>
          <w:trHeight w:val="315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6E" w:rsidRPr="004364E5" w:rsidRDefault="007C706E" w:rsidP="007C706E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u-HU" w:eastAsia="hu-HU"/>
              </w:rPr>
            </w:pPr>
            <w:proofErr w:type="spellStart"/>
            <w:r w:rsidRPr="004364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u-HU" w:eastAsia="hu-HU"/>
              </w:rPr>
              <w:t>Slovakia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6E" w:rsidRPr="004364E5" w:rsidRDefault="007C706E" w:rsidP="007C70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u-HU" w:eastAsia="hu-HU"/>
              </w:rPr>
            </w:pPr>
            <w:r w:rsidRPr="004364E5">
              <w:rPr>
                <w:rFonts w:ascii="Arial" w:hAnsi="Arial" w:cs="Arial"/>
                <w:color w:val="000000"/>
                <w:sz w:val="18"/>
                <w:szCs w:val="18"/>
                <w:lang w:val="hu-HU" w:eastAsia="hu-HU"/>
              </w:rPr>
              <w:t>185.6 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6E" w:rsidRPr="004364E5" w:rsidRDefault="007C706E" w:rsidP="007C7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color w:val="FF0000"/>
                <w:sz w:val="18"/>
                <w:szCs w:val="18"/>
                <w:lang w:val="hu-HU" w:eastAsia="hu-HU"/>
              </w:rPr>
              <w:t>157.6 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6E" w:rsidRPr="004364E5" w:rsidRDefault="007C706E" w:rsidP="007C70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u-HU" w:eastAsia="hu-HU"/>
              </w:rPr>
            </w:pPr>
            <w:r w:rsidRPr="004364E5">
              <w:rPr>
                <w:rFonts w:ascii="Arial" w:hAnsi="Arial" w:cs="Arial"/>
                <w:color w:val="000000"/>
                <w:sz w:val="18"/>
                <w:szCs w:val="18"/>
                <w:lang w:val="hu-HU" w:eastAsia="hu-HU"/>
              </w:rPr>
              <w:t>114.3 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6E" w:rsidRPr="004364E5" w:rsidRDefault="007C706E" w:rsidP="007C70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u-HU" w:eastAsia="hu-HU"/>
              </w:rPr>
            </w:pPr>
            <w:r w:rsidRPr="004364E5">
              <w:rPr>
                <w:rFonts w:ascii="Arial" w:hAnsi="Arial" w:cs="Arial"/>
                <w:color w:val="000000"/>
                <w:sz w:val="18"/>
                <w:szCs w:val="18"/>
                <w:lang w:val="hu-HU" w:eastAsia="hu-HU"/>
              </w:rPr>
              <w:t>142.2 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6E" w:rsidRPr="004364E5" w:rsidRDefault="007C706E" w:rsidP="007C7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color w:val="000000"/>
                <w:sz w:val="18"/>
                <w:szCs w:val="18"/>
                <w:lang w:val="hu-HU" w:eastAsia="hu-HU"/>
              </w:rPr>
              <w:t>129.2 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6E" w:rsidRPr="004364E5" w:rsidRDefault="007C706E" w:rsidP="007C7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color w:val="000000"/>
                <w:sz w:val="18"/>
                <w:szCs w:val="18"/>
                <w:lang w:val="hu-HU" w:eastAsia="hu-HU"/>
              </w:rPr>
              <w:t>81.4 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6E" w:rsidRPr="004364E5" w:rsidRDefault="007C706E" w:rsidP="007C7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hu-HU" w:eastAsia="hu-HU"/>
              </w:rPr>
            </w:pPr>
            <w:r w:rsidRPr="004364E5">
              <w:rPr>
                <w:rFonts w:ascii="Arial" w:hAnsi="Arial" w:cs="Arial"/>
                <w:b/>
                <w:color w:val="000000"/>
                <w:sz w:val="18"/>
                <w:szCs w:val="18"/>
                <w:lang w:val="hu-HU" w:eastAsia="hu-HU"/>
              </w:rPr>
              <w:t>147.5 </w:t>
            </w:r>
          </w:p>
        </w:tc>
      </w:tr>
    </w:tbl>
    <w:p w:rsidR="007C706E" w:rsidRPr="004364E5" w:rsidRDefault="007C706E" w:rsidP="007C706E">
      <w:pPr>
        <w:spacing w:line="276" w:lineRule="auto"/>
        <w:rPr>
          <w:rFonts w:asciiTheme="minorHAnsi" w:eastAsia="Calibri" w:hAnsiTheme="minorHAnsi"/>
          <w:b/>
          <w:sz w:val="24"/>
          <w:szCs w:val="24"/>
        </w:rPr>
      </w:pPr>
    </w:p>
    <w:p w:rsidR="00EA5590" w:rsidRPr="004364E5" w:rsidRDefault="00A445CA" w:rsidP="007C706E">
      <w:pPr>
        <w:spacing w:line="276" w:lineRule="auto"/>
        <w:rPr>
          <w:rFonts w:asciiTheme="minorHAnsi" w:eastAsia="Calibri" w:hAnsiTheme="minorHAnsi"/>
          <w:b/>
          <w:sz w:val="24"/>
          <w:szCs w:val="24"/>
        </w:rPr>
      </w:pP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Forrás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>: Eurostat</w:t>
      </w:r>
    </w:p>
    <w:p w:rsidR="00A445CA" w:rsidRPr="004364E5" w:rsidRDefault="00A445CA" w:rsidP="007C706E">
      <w:pPr>
        <w:spacing w:line="276" w:lineRule="auto"/>
        <w:rPr>
          <w:rFonts w:asciiTheme="minorHAnsi" w:eastAsia="Calibri" w:hAnsiTheme="minorHAnsi"/>
          <w:b/>
          <w:sz w:val="24"/>
          <w:szCs w:val="24"/>
        </w:rPr>
      </w:pPr>
    </w:p>
    <w:p w:rsidR="0094360A" w:rsidRPr="004364E5" w:rsidRDefault="0094360A" w:rsidP="007C706E">
      <w:pPr>
        <w:spacing w:line="276" w:lineRule="auto"/>
        <w:rPr>
          <w:rFonts w:asciiTheme="minorHAnsi" w:eastAsia="Calibri" w:hAnsiTheme="minorHAnsi"/>
          <w:b/>
          <w:sz w:val="24"/>
          <w:szCs w:val="24"/>
        </w:rPr>
      </w:pPr>
    </w:p>
    <w:p w:rsidR="0094360A" w:rsidRPr="004364E5" w:rsidRDefault="0094360A" w:rsidP="007C706E">
      <w:pPr>
        <w:spacing w:line="276" w:lineRule="auto"/>
        <w:rPr>
          <w:rFonts w:asciiTheme="minorHAnsi" w:eastAsia="Calibri" w:hAnsiTheme="minorHAnsi"/>
          <w:b/>
          <w:sz w:val="24"/>
          <w:szCs w:val="24"/>
        </w:rPr>
      </w:pPr>
    </w:p>
    <w:p w:rsidR="00A445CA" w:rsidRPr="004364E5" w:rsidRDefault="00A445CA" w:rsidP="007C706E">
      <w:pPr>
        <w:spacing w:line="276" w:lineRule="auto"/>
        <w:rPr>
          <w:rFonts w:asciiTheme="minorHAnsi" w:eastAsia="Calibri" w:hAnsiTheme="minorHAnsi"/>
          <w:b/>
          <w:sz w:val="24"/>
          <w:szCs w:val="24"/>
        </w:rPr>
      </w:pPr>
    </w:p>
    <w:p w:rsidR="002D2706" w:rsidRPr="004364E5" w:rsidRDefault="002D2706" w:rsidP="007C706E">
      <w:pPr>
        <w:spacing w:line="276" w:lineRule="auto"/>
        <w:rPr>
          <w:rFonts w:asciiTheme="minorHAnsi" w:eastAsia="Calibri" w:hAnsiTheme="minorHAnsi"/>
          <w:b/>
          <w:sz w:val="24"/>
          <w:szCs w:val="24"/>
        </w:rPr>
      </w:pPr>
    </w:p>
    <w:p w:rsidR="002D2706" w:rsidRPr="004364E5" w:rsidRDefault="002D2706" w:rsidP="007C706E">
      <w:pPr>
        <w:spacing w:line="276" w:lineRule="auto"/>
        <w:rPr>
          <w:rFonts w:asciiTheme="minorHAnsi" w:eastAsia="Calibri" w:hAnsiTheme="minorHAnsi"/>
          <w:b/>
          <w:sz w:val="24"/>
          <w:szCs w:val="24"/>
        </w:rPr>
      </w:pPr>
    </w:p>
    <w:p w:rsidR="002D2706" w:rsidRPr="004364E5" w:rsidRDefault="002D2706" w:rsidP="007C706E">
      <w:pPr>
        <w:spacing w:line="276" w:lineRule="auto"/>
        <w:rPr>
          <w:rFonts w:asciiTheme="minorHAnsi" w:eastAsia="Calibri" w:hAnsiTheme="minorHAnsi"/>
          <w:b/>
          <w:sz w:val="24"/>
          <w:szCs w:val="24"/>
        </w:rPr>
      </w:pPr>
    </w:p>
    <w:p w:rsidR="004E6916" w:rsidRPr="004364E5" w:rsidRDefault="004E6916" w:rsidP="007C706E">
      <w:pPr>
        <w:spacing w:line="276" w:lineRule="auto"/>
        <w:rPr>
          <w:rFonts w:asciiTheme="minorHAnsi" w:eastAsia="Calibri" w:hAnsiTheme="minorHAnsi"/>
          <w:b/>
          <w:sz w:val="24"/>
          <w:szCs w:val="24"/>
        </w:rPr>
      </w:pPr>
    </w:p>
    <w:p w:rsidR="00BA10F5" w:rsidRPr="004364E5" w:rsidRDefault="00BA10F5" w:rsidP="00BA10F5">
      <w:pPr>
        <w:pStyle w:val="Listaszerbekezds"/>
        <w:numPr>
          <w:ilvl w:val="0"/>
          <w:numId w:val="1"/>
        </w:numPr>
        <w:shd w:val="clear" w:color="auto" w:fill="FFFFFF"/>
        <w:rPr>
          <w:rFonts w:asciiTheme="minorHAnsi" w:hAnsiTheme="minorHAnsi" w:cs="Arial"/>
          <w:sz w:val="24"/>
          <w:szCs w:val="24"/>
          <w:lang w:val="hu-HU" w:eastAsia="hu-HU"/>
        </w:rPr>
      </w:pPr>
      <w:r w:rsidRPr="004364E5">
        <w:rPr>
          <w:rFonts w:asciiTheme="minorHAnsi" w:eastAsia="Calibri" w:hAnsiTheme="minorHAnsi"/>
          <w:b/>
          <w:sz w:val="24"/>
          <w:szCs w:val="24"/>
        </w:rPr>
        <w:t xml:space="preserve">A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minimálbér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emelés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kockázatai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(</w:t>
      </w:r>
      <w:r w:rsidR="00A445CA" w:rsidRPr="004364E5">
        <w:rPr>
          <w:rFonts w:asciiTheme="minorHAnsi" w:hAnsiTheme="minorHAnsi" w:cs="Arial"/>
          <w:sz w:val="24"/>
          <w:szCs w:val="24"/>
          <w:lang w:val="hu-HU" w:eastAsia="hu-HU"/>
        </w:rPr>
        <w:t xml:space="preserve">Ki fizeti </w:t>
      </w:r>
      <w:proofErr w:type="gramStart"/>
      <w:r w:rsidR="00A445CA" w:rsidRPr="004364E5">
        <w:rPr>
          <w:rFonts w:asciiTheme="minorHAnsi" w:hAnsiTheme="minorHAnsi" w:cs="Arial"/>
          <w:sz w:val="24"/>
          <w:szCs w:val="24"/>
          <w:lang w:val="hu-HU" w:eastAsia="hu-HU"/>
        </w:rPr>
        <w:t>meg</w:t>
      </w:r>
      <w:proofErr w:type="gramEnd"/>
      <w:r w:rsidR="00A445CA" w:rsidRPr="004364E5">
        <w:rPr>
          <w:rFonts w:asciiTheme="minorHAnsi" w:hAnsiTheme="minorHAnsi" w:cs="Arial"/>
          <w:sz w:val="24"/>
          <w:szCs w:val="24"/>
          <w:lang w:val="hu-HU" w:eastAsia="hu-HU"/>
        </w:rPr>
        <w:t xml:space="preserve"> a minimálbért</w:t>
      </w:r>
      <w:r w:rsidRPr="004364E5">
        <w:rPr>
          <w:rFonts w:asciiTheme="minorHAnsi" w:hAnsiTheme="minorHAnsi" w:cs="Arial"/>
          <w:sz w:val="24"/>
          <w:szCs w:val="24"/>
          <w:lang w:val="hu-HU" w:eastAsia="hu-HU"/>
        </w:rPr>
        <w:t>?</w:t>
      </w:r>
      <w:r w:rsidR="00A445CA" w:rsidRPr="004364E5">
        <w:rPr>
          <w:rFonts w:asciiTheme="minorHAnsi" w:hAnsiTheme="minorHAnsi" w:cs="Arial"/>
          <w:sz w:val="24"/>
          <w:szCs w:val="24"/>
          <w:lang w:val="hu-HU" w:eastAsia="hu-HU"/>
        </w:rPr>
        <w:t>)</w:t>
      </w:r>
    </w:p>
    <w:p w:rsidR="007C706E" w:rsidRPr="004364E5" w:rsidRDefault="00BA10F5" w:rsidP="00BA10F5">
      <w:pPr>
        <w:pStyle w:val="Listaszerbekezds"/>
        <w:shd w:val="clear" w:color="auto" w:fill="FFFFFF"/>
        <w:rPr>
          <w:rFonts w:asciiTheme="minorHAnsi" w:hAnsiTheme="minorHAnsi" w:cs="Arial"/>
          <w:sz w:val="24"/>
          <w:szCs w:val="24"/>
          <w:lang w:val="hu-HU" w:eastAsia="hu-HU"/>
        </w:rPr>
      </w:pPr>
      <w:proofErr w:type="spellStart"/>
      <w:r w:rsidRPr="004364E5">
        <w:rPr>
          <w:rFonts w:asciiTheme="minorHAnsi" w:hAnsiTheme="minorHAnsi" w:cs="Arial"/>
          <w:sz w:val="24"/>
          <w:szCs w:val="24"/>
          <w:lang w:val="hu-HU" w:eastAsia="hu-HU"/>
        </w:rPr>
        <w:t>Harasztosi</w:t>
      </w:r>
      <w:proofErr w:type="spellEnd"/>
      <w:r w:rsidR="00A445CA" w:rsidRPr="004364E5">
        <w:rPr>
          <w:rFonts w:asciiTheme="minorHAnsi" w:hAnsiTheme="minorHAnsi" w:cs="Arial"/>
          <w:sz w:val="24"/>
          <w:szCs w:val="24"/>
          <w:lang w:val="hu-HU" w:eastAsia="hu-HU"/>
        </w:rPr>
        <w:t xml:space="preserve"> Péter, Magyar Nemzeti Bank </w:t>
      </w:r>
      <w:proofErr w:type="gramStart"/>
      <w:r w:rsidR="00A445CA" w:rsidRPr="004364E5">
        <w:rPr>
          <w:rFonts w:asciiTheme="minorHAnsi" w:hAnsiTheme="minorHAnsi" w:cs="Arial"/>
          <w:sz w:val="24"/>
          <w:szCs w:val="24"/>
          <w:lang w:val="hu-HU" w:eastAsia="hu-HU"/>
        </w:rPr>
        <w:t xml:space="preserve">és  </w:t>
      </w:r>
      <w:r w:rsidRPr="004364E5">
        <w:rPr>
          <w:rFonts w:asciiTheme="minorHAnsi" w:hAnsiTheme="minorHAnsi" w:cs="Arial"/>
          <w:sz w:val="24"/>
          <w:szCs w:val="24"/>
          <w:lang w:val="hu-HU" w:eastAsia="hu-HU"/>
        </w:rPr>
        <w:t>Lindner</w:t>
      </w:r>
      <w:proofErr w:type="gramEnd"/>
      <w:r w:rsidRPr="004364E5">
        <w:rPr>
          <w:rFonts w:asciiTheme="minorHAnsi" w:hAnsiTheme="minorHAnsi" w:cs="Arial"/>
          <w:sz w:val="24"/>
          <w:szCs w:val="24"/>
          <w:lang w:val="hu-HU" w:eastAsia="hu-HU"/>
        </w:rPr>
        <w:t xml:space="preserve"> </w:t>
      </w:r>
      <w:r w:rsidR="00A445CA" w:rsidRPr="004364E5">
        <w:rPr>
          <w:rFonts w:asciiTheme="minorHAnsi" w:hAnsiTheme="minorHAnsi" w:cs="Arial"/>
          <w:sz w:val="24"/>
          <w:szCs w:val="24"/>
          <w:lang w:val="hu-HU" w:eastAsia="hu-HU"/>
        </w:rPr>
        <w:t>Attila</w:t>
      </w:r>
      <w:r w:rsidRPr="004364E5">
        <w:rPr>
          <w:rFonts w:asciiTheme="minorHAnsi" w:hAnsiTheme="minorHAnsi" w:cs="Arial"/>
          <w:sz w:val="24"/>
          <w:szCs w:val="24"/>
          <w:lang w:val="hu-HU" w:eastAsia="hu-HU"/>
        </w:rPr>
        <w:t xml:space="preserve">, </w:t>
      </w:r>
      <w:proofErr w:type="spellStart"/>
      <w:r w:rsidRPr="004364E5">
        <w:rPr>
          <w:rFonts w:asciiTheme="minorHAnsi" w:hAnsiTheme="minorHAnsi" w:cs="Arial"/>
          <w:sz w:val="24"/>
          <w:szCs w:val="24"/>
          <w:lang w:val="hu-HU" w:eastAsia="hu-HU"/>
        </w:rPr>
        <w:t>UC</w:t>
      </w:r>
      <w:proofErr w:type="spellEnd"/>
      <w:r w:rsidRPr="004364E5">
        <w:rPr>
          <w:rFonts w:asciiTheme="minorHAnsi" w:hAnsiTheme="minorHAnsi" w:cs="Arial"/>
          <w:sz w:val="24"/>
          <w:szCs w:val="24"/>
          <w:lang w:val="hu-HU" w:eastAsia="hu-HU"/>
        </w:rPr>
        <w:t xml:space="preserve"> Berkeley tanulmánya alapján)</w:t>
      </w:r>
    </w:p>
    <w:p w:rsidR="009F035B" w:rsidRPr="004364E5" w:rsidRDefault="009F035B" w:rsidP="00BA10F5">
      <w:pPr>
        <w:pStyle w:val="Listaszerbekezds"/>
        <w:shd w:val="clear" w:color="auto" w:fill="FFFFFF"/>
        <w:rPr>
          <w:rFonts w:asciiTheme="minorHAnsi" w:hAnsiTheme="minorHAnsi" w:cs="Arial"/>
          <w:sz w:val="24"/>
          <w:szCs w:val="24"/>
          <w:lang w:val="hu-HU" w:eastAsia="hu-HU"/>
        </w:rPr>
      </w:pPr>
    </w:p>
    <w:p w:rsidR="00F433F6" w:rsidRPr="004364E5" w:rsidRDefault="00F433F6" w:rsidP="00A445CA">
      <w:pPr>
        <w:shd w:val="clear" w:color="auto" w:fill="FFFFFF"/>
        <w:rPr>
          <w:rFonts w:asciiTheme="minorHAnsi" w:hAnsiTheme="minorHAnsi" w:cs="Arial"/>
          <w:sz w:val="24"/>
          <w:szCs w:val="24"/>
          <w:lang w:val="hu-HU" w:eastAsia="hu-HU"/>
        </w:rPr>
      </w:pPr>
    </w:p>
    <w:p w:rsidR="00E741C2" w:rsidRPr="004364E5" w:rsidRDefault="00EA5590" w:rsidP="001069C6">
      <w:pPr>
        <w:pStyle w:val="Listaszerbekezds"/>
        <w:numPr>
          <w:ilvl w:val="0"/>
          <w:numId w:val="3"/>
        </w:numPr>
        <w:spacing w:line="276" w:lineRule="auto"/>
        <w:rPr>
          <w:rFonts w:asciiTheme="minorHAnsi" w:eastAsia="Calibri" w:hAnsiTheme="minorHAnsi"/>
          <w:b/>
          <w:sz w:val="24"/>
          <w:szCs w:val="24"/>
          <w:u w:val="single"/>
        </w:rPr>
      </w:pPr>
      <w:proofErr w:type="spellStart"/>
      <w:r w:rsidRPr="004364E5">
        <w:rPr>
          <w:rFonts w:asciiTheme="minorHAnsi" w:eastAsia="Calibri" w:hAnsiTheme="minorHAnsi"/>
          <w:b/>
          <w:sz w:val="24"/>
          <w:szCs w:val="24"/>
          <w:u w:val="single"/>
        </w:rPr>
        <w:t>Foglalkoztatás</w:t>
      </w:r>
      <w:proofErr w:type="spellEnd"/>
    </w:p>
    <w:p w:rsidR="001000B9" w:rsidRPr="004364E5" w:rsidRDefault="0081540B" w:rsidP="00E741C2">
      <w:pPr>
        <w:spacing w:line="276" w:lineRule="auto"/>
        <w:rPr>
          <w:rFonts w:asciiTheme="minorHAnsi" w:eastAsia="Calibri" w:hAnsiTheme="minorHAnsi"/>
          <w:b/>
          <w:sz w:val="24"/>
          <w:szCs w:val="24"/>
          <w:u w:val="single"/>
        </w:rPr>
      </w:pPr>
      <w:r w:rsidRPr="004364E5">
        <w:rPr>
          <w:rFonts w:eastAsia="Calibri"/>
          <w:noProof/>
          <w:lang w:val="hu-HU" w:eastAsia="hu-HU"/>
        </w:rPr>
        <w:lastRenderedPageBreak/>
        <w:drawing>
          <wp:inline distT="0" distB="0" distL="0" distR="0" wp14:anchorId="51F0FC44" wp14:editId="2271E1D8">
            <wp:extent cx="5734050" cy="3332917"/>
            <wp:effectExtent l="0" t="0" r="0" b="127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6866" cy="3346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1C2" w:rsidRPr="004364E5" w:rsidRDefault="00EA5590" w:rsidP="001069C6">
      <w:pPr>
        <w:pStyle w:val="Listaszerbekezds"/>
        <w:numPr>
          <w:ilvl w:val="0"/>
          <w:numId w:val="3"/>
        </w:numPr>
        <w:spacing w:line="276" w:lineRule="auto"/>
        <w:rPr>
          <w:rFonts w:asciiTheme="minorHAnsi" w:eastAsia="Calibri" w:hAnsiTheme="minorHAnsi"/>
          <w:b/>
          <w:sz w:val="24"/>
          <w:szCs w:val="24"/>
          <w:u w:val="single"/>
        </w:rPr>
      </w:pPr>
      <w:proofErr w:type="spellStart"/>
      <w:r w:rsidRPr="004364E5">
        <w:rPr>
          <w:rFonts w:asciiTheme="minorHAnsi" w:eastAsia="Calibri" w:hAnsiTheme="minorHAnsi"/>
          <w:b/>
          <w:sz w:val="24"/>
          <w:szCs w:val="24"/>
          <w:u w:val="single"/>
        </w:rPr>
        <w:t>Nyereségráta</w:t>
      </w:r>
      <w:proofErr w:type="spellEnd"/>
    </w:p>
    <w:p w:rsidR="00F433F6" w:rsidRPr="004364E5" w:rsidRDefault="00F433F6" w:rsidP="00E741C2">
      <w:pPr>
        <w:spacing w:line="276" w:lineRule="auto"/>
        <w:rPr>
          <w:rFonts w:asciiTheme="minorHAnsi" w:eastAsia="Calibri" w:hAnsiTheme="minorHAnsi"/>
          <w:b/>
          <w:sz w:val="24"/>
          <w:szCs w:val="24"/>
        </w:rPr>
      </w:pPr>
    </w:p>
    <w:p w:rsidR="00E741C2" w:rsidRPr="004364E5" w:rsidRDefault="00E741C2" w:rsidP="00E741C2">
      <w:pPr>
        <w:spacing w:line="276" w:lineRule="auto"/>
        <w:rPr>
          <w:rFonts w:asciiTheme="minorHAnsi" w:eastAsia="Calibri" w:hAnsiTheme="minorHAnsi"/>
          <w:b/>
          <w:sz w:val="24"/>
          <w:szCs w:val="24"/>
        </w:rPr>
      </w:pPr>
      <w:r w:rsidRPr="004364E5">
        <w:rPr>
          <w:rFonts w:asciiTheme="minorHAnsi" w:eastAsia="Calibri" w:hAnsiTheme="minorHAnsi"/>
          <w:b/>
          <w:noProof/>
          <w:sz w:val="24"/>
          <w:szCs w:val="24"/>
          <w:lang w:val="hu-HU" w:eastAsia="hu-HU"/>
        </w:rPr>
        <w:drawing>
          <wp:inline distT="0" distB="0" distL="0" distR="0" wp14:anchorId="6F6C91E5" wp14:editId="50899DDF">
            <wp:extent cx="6816090" cy="4314825"/>
            <wp:effectExtent l="0" t="0" r="3810" b="9525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29344" cy="4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40B" w:rsidRPr="004364E5" w:rsidRDefault="0081540B" w:rsidP="00E741C2">
      <w:pPr>
        <w:spacing w:line="276" w:lineRule="auto"/>
        <w:rPr>
          <w:rFonts w:asciiTheme="minorHAnsi" w:eastAsia="Calibri" w:hAnsiTheme="minorHAnsi"/>
          <w:b/>
          <w:sz w:val="24"/>
          <w:szCs w:val="24"/>
          <w:u w:val="single"/>
        </w:rPr>
      </w:pPr>
    </w:p>
    <w:p w:rsidR="00D25A96" w:rsidRPr="004364E5" w:rsidRDefault="00D25A96" w:rsidP="001069C6">
      <w:pPr>
        <w:pStyle w:val="Listaszerbekezds"/>
        <w:numPr>
          <w:ilvl w:val="0"/>
          <w:numId w:val="3"/>
        </w:numPr>
        <w:spacing w:line="276" w:lineRule="auto"/>
        <w:rPr>
          <w:rFonts w:asciiTheme="minorHAnsi" w:eastAsia="Calibri" w:hAnsiTheme="minorHAnsi"/>
          <w:b/>
          <w:sz w:val="24"/>
          <w:szCs w:val="24"/>
          <w:u w:val="single"/>
        </w:rPr>
      </w:pPr>
      <w:proofErr w:type="spellStart"/>
      <w:r w:rsidRPr="004364E5">
        <w:rPr>
          <w:rFonts w:asciiTheme="minorHAnsi" w:eastAsia="Calibri" w:hAnsiTheme="minorHAnsi"/>
          <w:b/>
          <w:sz w:val="24"/>
          <w:szCs w:val="24"/>
          <w:u w:val="single"/>
        </w:rPr>
        <w:t>Infláció</w:t>
      </w:r>
      <w:proofErr w:type="spellEnd"/>
    </w:p>
    <w:p w:rsidR="00F433F6" w:rsidRPr="004364E5" w:rsidRDefault="00F433F6" w:rsidP="00E741C2">
      <w:pPr>
        <w:spacing w:line="276" w:lineRule="auto"/>
        <w:rPr>
          <w:rFonts w:asciiTheme="minorHAnsi" w:eastAsia="Calibri" w:hAnsiTheme="minorHAnsi"/>
          <w:b/>
          <w:sz w:val="24"/>
          <w:szCs w:val="24"/>
          <w:u w:val="single"/>
        </w:rPr>
      </w:pPr>
    </w:p>
    <w:p w:rsidR="00D25A96" w:rsidRPr="004364E5" w:rsidRDefault="00D25A96" w:rsidP="00E741C2">
      <w:pPr>
        <w:spacing w:line="276" w:lineRule="auto"/>
        <w:rPr>
          <w:rFonts w:asciiTheme="minorHAnsi" w:eastAsia="Calibri" w:hAnsiTheme="minorHAnsi"/>
          <w:b/>
          <w:sz w:val="24"/>
          <w:szCs w:val="24"/>
        </w:rPr>
      </w:pP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Az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igényelt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minimálbér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emelések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többletköltége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a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minimálbéreseket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legnagyobb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arányban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foglalkoztató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ágazatokban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sem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éri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el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az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ágazati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kibocsátás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0</w:t>
      </w:r>
      <w:proofErr w:type="gramStart"/>
      <w:r w:rsidRPr="004364E5">
        <w:rPr>
          <w:rFonts w:asciiTheme="minorHAnsi" w:eastAsia="Calibri" w:hAnsiTheme="minorHAnsi"/>
          <w:b/>
          <w:sz w:val="24"/>
          <w:szCs w:val="24"/>
        </w:rPr>
        <w:t>,5</w:t>
      </w:r>
      <w:proofErr w:type="gramEnd"/>
      <w:r w:rsidRPr="004364E5">
        <w:rPr>
          <w:rFonts w:asciiTheme="minorHAnsi" w:eastAsia="Calibri" w:hAnsiTheme="minorHAnsi"/>
          <w:b/>
          <w:sz w:val="24"/>
          <w:szCs w:val="24"/>
        </w:rPr>
        <w:t>%-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át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. </w:t>
      </w:r>
    </w:p>
    <w:p w:rsidR="001069C6" w:rsidRPr="004364E5" w:rsidRDefault="001069C6" w:rsidP="001069C6">
      <w:pPr>
        <w:spacing w:line="276" w:lineRule="auto"/>
        <w:rPr>
          <w:rFonts w:asciiTheme="minorHAnsi" w:eastAsia="Calibri" w:hAnsiTheme="minorHAnsi"/>
          <w:b/>
          <w:sz w:val="24"/>
          <w:szCs w:val="24"/>
        </w:rPr>
      </w:pP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Forrás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: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KSH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,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NGM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és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saját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számítás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>.</w:t>
      </w:r>
    </w:p>
    <w:p w:rsidR="001069C6" w:rsidRPr="004364E5" w:rsidRDefault="001069C6" w:rsidP="00E741C2">
      <w:pPr>
        <w:spacing w:line="276" w:lineRule="auto"/>
        <w:rPr>
          <w:rFonts w:asciiTheme="minorHAnsi" w:eastAsia="Calibri" w:hAnsiTheme="minorHAnsi"/>
          <w:b/>
          <w:sz w:val="24"/>
          <w:szCs w:val="24"/>
        </w:rPr>
      </w:pPr>
    </w:p>
    <w:p w:rsidR="001069C6" w:rsidRPr="004364E5" w:rsidRDefault="001069C6" w:rsidP="001069C6">
      <w:pPr>
        <w:pStyle w:val="Listaszerbekezds"/>
        <w:numPr>
          <w:ilvl w:val="0"/>
          <w:numId w:val="3"/>
        </w:numPr>
        <w:spacing w:line="276" w:lineRule="auto"/>
        <w:rPr>
          <w:rFonts w:asciiTheme="minorHAnsi" w:eastAsia="Calibri" w:hAnsiTheme="minorHAnsi"/>
          <w:b/>
          <w:sz w:val="24"/>
          <w:szCs w:val="24"/>
        </w:rPr>
      </w:pP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Növekedés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ösztönzés</w:t>
      </w:r>
      <w:proofErr w:type="spellEnd"/>
    </w:p>
    <w:p w:rsidR="001069C6" w:rsidRPr="004364E5" w:rsidRDefault="001069C6" w:rsidP="00E741C2">
      <w:pPr>
        <w:spacing w:line="276" w:lineRule="auto"/>
        <w:rPr>
          <w:rFonts w:asciiTheme="minorHAnsi" w:eastAsia="Calibri" w:hAnsiTheme="minorHAnsi"/>
          <w:b/>
          <w:sz w:val="24"/>
          <w:szCs w:val="24"/>
        </w:rPr>
      </w:pPr>
    </w:p>
    <w:p w:rsidR="001069C6" w:rsidRPr="004364E5" w:rsidRDefault="001069C6" w:rsidP="00E741C2">
      <w:pPr>
        <w:spacing w:line="276" w:lineRule="auto"/>
        <w:rPr>
          <w:rFonts w:asciiTheme="minorHAnsi" w:eastAsia="Calibri" w:hAnsiTheme="minorHAnsi"/>
          <w:b/>
          <w:sz w:val="24"/>
          <w:szCs w:val="24"/>
        </w:rPr>
      </w:pP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Magyarországon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a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hazai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kereslet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részaránya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a GDP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felhasználásában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a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legalacsonyabbak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közé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tartozik</w:t>
      </w:r>
      <w:proofErr w:type="spellEnd"/>
      <w:r w:rsidRPr="004364E5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Pr="004364E5">
        <w:rPr>
          <w:rFonts w:asciiTheme="minorHAnsi" w:eastAsia="Calibri" w:hAnsiTheme="minorHAnsi"/>
          <w:b/>
          <w:sz w:val="24"/>
          <w:szCs w:val="24"/>
        </w:rPr>
        <w:t>Európában</w:t>
      </w:r>
      <w:proofErr w:type="spellEnd"/>
    </w:p>
    <w:p w:rsidR="00D25A96" w:rsidRPr="004364E5" w:rsidRDefault="001069C6" w:rsidP="00E741C2">
      <w:pPr>
        <w:spacing w:line="276" w:lineRule="auto"/>
        <w:rPr>
          <w:rFonts w:asciiTheme="minorHAnsi" w:eastAsia="Calibri" w:hAnsiTheme="minorHAnsi"/>
          <w:b/>
          <w:sz w:val="24"/>
          <w:szCs w:val="24"/>
        </w:rPr>
      </w:pPr>
      <w:r w:rsidRPr="004364E5">
        <w:rPr>
          <w:noProof/>
          <w:lang w:val="hu-HU" w:eastAsia="hu-HU"/>
        </w:rPr>
        <w:drawing>
          <wp:inline distT="0" distB="0" distL="0" distR="0" wp14:anchorId="78DD977E" wp14:editId="58645769">
            <wp:extent cx="4762500" cy="34290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9C6" w:rsidRDefault="001069C6" w:rsidP="00E741C2">
      <w:pPr>
        <w:spacing w:line="276" w:lineRule="auto"/>
        <w:rPr>
          <w:rFonts w:asciiTheme="minorHAnsi" w:eastAsia="Calibri" w:hAnsiTheme="minorHAnsi"/>
          <w:b/>
          <w:sz w:val="24"/>
          <w:szCs w:val="24"/>
        </w:rPr>
      </w:pPr>
      <w:r w:rsidRPr="004364E5">
        <w:rPr>
          <w:noProof/>
          <w:lang w:val="hu-HU" w:eastAsia="hu-HU"/>
        </w:rPr>
        <w:drawing>
          <wp:inline distT="0" distB="0" distL="0" distR="0" wp14:anchorId="1242AC3A" wp14:editId="04442C51">
            <wp:extent cx="5781675" cy="5067300"/>
            <wp:effectExtent l="0" t="0" r="952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7EE" w:rsidRDefault="00C937EE" w:rsidP="00E741C2">
      <w:pPr>
        <w:spacing w:line="276" w:lineRule="auto"/>
        <w:rPr>
          <w:rFonts w:asciiTheme="minorHAnsi" w:eastAsia="Calibri" w:hAnsiTheme="minorHAnsi"/>
          <w:b/>
          <w:sz w:val="24"/>
          <w:szCs w:val="24"/>
        </w:rPr>
      </w:pPr>
      <w:bookmarkStart w:id="0" w:name="_GoBack"/>
      <w:bookmarkEnd w:id="0"/>
    </w:p>
    <w:sectPr w:rsidR="00C937EE" w:rsidSect="005F3EEB">
      <w:headerReference w:type="default" r:id="rId18"/>
      <w:pgSz w:w="11906" w:h="16838"/>
      <w:pgMar w:top="0" w:right="1080" w:bottom="72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7FA" w:rsidRDefault="00FA17FA">
      <w:r>
        <w:separator/>
      </w:r>
    </w:p>
  </w:endnote>
  <w:endnote w:type="continuationSeparator" w:id="0">
    <w:p w:rsidR="00FA17FA" w:rsidRDefault="00FA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7FA" w:rsidRDefault="00FA17FA">
      <w:r>
        <w:separator/>
      </w:r>
    </w:p>
  </w:footnote>
  <w:footnote w:type="continuationSeparator" w:id="0">
    <w:p w:rsidR="00FA17FA" w:rsidRDefault="00FA1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7889279"/>
      <w:docPartObj>
        <w:docPartGallery w:val="Page Numbers (Top of Page)"/>
        <w:docPartUnique/>
      </w:docPartObj>
    </w:sdtPr>
    <w:sdtEndPr/>
    <w:sdtContent>
      <w:p w:rsidR="00541FF4" w:rsidRDefault="00541FF4">
        <w:pPr>
          <w:pStyle w:val="lfej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4E5" w:rsidRPr="004364E5">
          <w:rPr>
            <w:noProof/>
            <w:lang w:val="hu-HU"/>
          </w:rPr>
          <w:t>1</w:t>
        </w:r>
        <w:r>
          <w:fldChar w:fldCharType="end"/>
        </w:r>
      </w:p>
    </w:sdtContent>
  </w:sdt>
  <w:p w:rsidR="00F22BB8" w:rsidRDefault="00FA17FA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0437"/>
    <w:multiLevelType w:val="hybridMultilevel"/>
    <w:tmpl w:val="C0BEC52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018DC"/>
    <w:multiLevelType w:val="hybridMultilevel"/>
    <w:tmpl w:val="F0F226E4"/>
    <w:lvl w:ilvl="0" w:tplc="040E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2" w15:restartNumberingAfterBreak="0">
    <w:nsid w:val="1C4C3FC2"/>
    <w:multiLevelType w:val="hybridMultilevel"/>
    <w:tmpl w:val="00C622A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AC0C73"/>
    <w:multiLevelType w:val="hybridMultilevel"/>
    <w:tmpl w:val="A7A87A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C2C1C"/>
    <w:multiLevelType w:val="hybridMultilevel"/>
    <w:tmpl w:val="E618EB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55C0E"/>
    <w:multiLevelType w:val="hybridMultilevel"/>
    <w:tmpl w:val="A5C26E86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FA72823"/>
    <w:multiLevelType w:val="hybridMultilevel"/>
    <w:tmpl w:val="19F8B402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556B6B"/>
    <w:multiLevelType w:val="hybridMultilevel"/>
    <w:tmpl w:val="56BCC4A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1F5D4B"/>
    <w:multiLevelType w:val="hybridMultilevel"/>
    <w:tmpl w:val="9DBA50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73238"/>
    <w:multiLevelType w:val="hybridMultilevel"/>
    <w:tmpl w:val="40AC5E1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F1B63"/>
    <w:multiLevelType w:val="hybridMultilevel"/>
    <w:tmpl w:val="90E8AE76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61024BF1"/>
    <w:multiLevelType w:val="hybridMultilevel"/>
    <w:tmpl w:val="24AE9D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062E0"/>
    <w:multiLevelType w:val="hybridMultilevel"/>
    <w:tmpl w:val="E0BAE176"/>
    <w:lvl w:ilvl="0" w:tplc="040E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3" w15:restartNumberingAfterBreak="0">
    <w:nsid w:val="68E316B5"/>
    <w:multiLevelType w:val="hybridMultilevel"/>
    <w:tmpl w:val="9F5E4F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E4260"/>
    <w:multiLevelType w:val="hybridMultilevel"/>
    <w:tmpl w:val="21E83798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F7F37"/>
    <w:multiLevelType w:val="hybridMultilevel"/>
    <w:tmpl w:val="028647B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9876F7"/>
    <w:multiLevelType w:val="hybridMultilevel"/>
    <w:tmpl w:val="5EFEA924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6"/>
  </w:num>
  <w:num w:numId="5">
    <w:abstractNumId w:val="11"/>
  </w:num>
  <w:num w:numId="6">
    <w:abstractNumId w:val="15"/>
  </w:num>
  <w:num w:numId="7">
    <w:abstractNumId w:val="1"/>
  </w:num>
  <w:num w:numId="8">
    <w:abstractNumId w:val="12"/>
  </w:num>
  <w:num w:numId="9">
    <w:abstractNumId w:val="4"/>
  </w:num>
  <w:num w:numId="10">
    <w:abstractNumId w:val="8"/>
  </w:num>
  <w:num w:numId="11">
    <w:abstractNumId w:val="13"/>
  </w:num>
  <w:num w:numId="12">
    <w:abstractNumId w:val="3"/>
  </w:num>
  <w:num w:numId="13">
    <w:abstractNumId w:val="9"/>
  </w:num>
  <w:num w:numId="14">
    <w:abstractNumId w:val="6"/>
  </w:num>
  <w:num w:numId="15">
    <w:abstractNumId w:val="10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59"/>
    <w:rsid w:val="000000D0"/>
    <w:rsid w:val="00002A76"/>
    <w:rsid w:val="00023283"/>
    <w:rsid w:val="00031819"/>
    <w:rsid w:val="00042078"/>
    <w:rsid w:val="00050F8B"/>
    <w:rsid w:val="000810CF"/>
    <w:rsid w:val="00085A72"/>
    <w:rsid w:val="000C64A2"/>
    <w:rsid w:val="001000B9"/>
    <w:rsid w:val="00103785"/>
    <w:rsid w:val="001069C6"/>
    <w:rsid w:val="001623AF"/>
    <w:rsid w:val="0016766F"/>
    <w:rsid w:val="00172B2E"/>
    <w:rsid w:val="001846DE"/>
    <w:rsid w:val="001D1AAA"/>
    <w:rsid w:val="001F149B"/>
    <w:rsid w:val="0024494F"/>
    <w:rsid w:val="00252B56"/>
    <w:rsid w:val="002A4298"/>
    <w:rsid w:val="002D2706"/>
    <w:rsid w:val="002E65CE"/>
    <w:rsid w:val="002F297F"/>
    <w:rsid w:val="00337F22"/>
    <w:rsid w:val="003544A7"/>
    <w:rsid w:val="003567C2"/>
    <w:rsid w:val="003E6997"/>
    <w:rsid w:val="003E79D3"/>
    <w:rsid w:val="003F3A7E"/>
    <w:rsid w:val="00402995"/>
    <w:rsid w:val="004213E0"/>
    <w:rsid w:val="004364E5"/>
    <w:rsid w:val="0043791B"/>
    <w:rsid w:val="00477723"/>
    <w:rsid w:val="00491741"/>
    <w:rsid w:val="004A7316"/>
    <w:rsid w:val="004C2F97"/>
    <w:rsid w:val="004E6916"/>
    <w:rsid w:val="00501CBE"/>
    <w:rsid w:val="005117D4"/>
    <w:rsid w:val="005212C3"/>
    <w:rsid w:val="00526281"/>
    <w:rsid w:val="00541FF4"/>
    <w:rsid w:val="00553833"/>
    <w:rsid w:val="00564562"/>
    <w:rsid w:val="0056644B"/>
    <w:rsid w:val="00572A18"/>
    <w:rsid w:val="005914EA"/>
    <w:rsid w:val="005A01A5"/>
    <w:rsid w:val="005B6159"/>
    <w:rsid w:val="005C2EB7"/>
    <w:rsid w:val="005C4252"/>
    <w:rsid w:val="005D30BB"/>
    <w:rsid w:val="005F3EEB"/>
    <w:rsid w:val="005F4F36"/>
    <w:rsid w:val="005F52D4"/>
    <w:rsid w:val="00626B9D"/>
    <w:rsid w:val="006366BB"/>
    <w:rsid w:val="006404BC"/>
    <w:rsid w:val="00671918"/>
    <w:rsid w:val="00680893"/>
    <w:rsid w:val="006E3C3A"/>
    <w:rsid w:val="007252DB"/>
    <w:rsid w:val="00726311"/>
    <w:rsid w:val="00735A63"/>
    <w:rsid w:val="0075282E"/>
    <w:rsid w:val="00757276"/>
    <w:rsid w:val="007B782E"/>
    <w:rsid w:val="007C706E"/>
    <w:rsid w:val="00804F37"/>
    <w:rsid w:val="00807FE3"/>
    <w:rsid w:val="00810C0F"/>
    <w:rsid w:val="0081540B"/>
    <w:rsid w:val="00830173"/>
    <w:rsid w:val="00855448"/>
    <w:rsid w:val="008569FF"/>
    <w:rsid w:val="008803E1"/>
    <w:rsid w:val="00880D71"/>
    <w:rsid w:val="008E4A25"/>
    <w:rsid w:val="008F0472"/>
    <w:rsid w:val="008F68B0"/>
    <w:rsid w:val="00936658"/>
    <w:rsid w:val="0094360A"/>
    <w:rsid w:val="00974934"/>
    <w:rsid w:val="009E064C"/>
    <w:rsid w:val="009F035B"/>
    <w:rsid w:val="009F3CF6"/>
    <w:rsid w:val="00A00A38"/>
    <w:rsid w:val="00A13126"/>
    <w:rsid w:val="00A32AF4"/>
    <w:rsid w:val="00A3322E"/>
    <w:rsid w:val="00A407FF"/>
    <w:rsid w:val="00A40CA6"/>
    <w:rsid w:val="00A445CA"/>
    <w:rsid w:val="00A77EAF"/>
    <w:rsid w:val="00B00D6A"/>
    <w:rsid w:val="00B43834"/>
    <w:rsid w:val="00B633E0"/>
    <w:rsid w:val="00BA10F5"/>
    <w:rsid w:val="00BB320D"/>
    <w:rsid w:val="00BD082B"/>
    <w:rsid w:val="00BD4FA1"/>
    <w:rsid w:val="00C14FF3"/>
    <w:rsid w:val="00C16BFB"/>
    <w:rsid w:val="00C328F9"/>
    <w:rsid w:val="00C346F7"/>
    <w:rsid w:val="00C34E7F"/>
    <w:rsid w:val="00C83772"/>
    <w:rsid w:val="00C858AD"/>
    <w:rsid w:val="00C8732D"/>
    <w:rsid w:val="00C937EE"/>
    <w:rsid w:val="00CA3862"/>
    <w:rsid w:val="00CD42B1"/>
    <w:rsid w:val="00CE137E"/>
    <w:rsid w:val="00CE5D15"/>
    <w:rsid w:val="00CF58B0"/>
    <w:rsid w:val="00D07AD9"/>
    <w:rsid w:val="00D215CD"/>
    <w:rsid w:val="00D24AF3"/>
    <w:rsid w:val="00D25A96"/>
    <w:rsid w:val="00D865C5"/>
    <w:rsid w:val="00D92FFA"/>
    <w:rsid w:val="00DA1832"/>
    <w:rsid w:val="00DA341E"/>
    <w:rsid w:val="00DB34B5"/>
    <w:rsid w:val="00DB3EBA"/>
    <w:rsid w:val="00DD7075"/>
    <w:rsid w:val="00E14978"/>
    <w:rsid w:val="00E27CB6"/>
    <w:rsid w:val="00E741C2"/>
    <w:rsid w:val="00E75C66"/>
    <w:rsid w:val="00E761CD"/>
    <w:rsid w:val="00E920A7"/>
    <w:rsid w:val="00E94B55"/>
    <w:rsid w:val="00EA5590"/>
    <w:rsid w:val="00EB27AA"/>
    <w:rsid w:val="00ED543D"/>
    <w:rsid w:val="00F433F6"/>
    <w:rsid w:val="00F62DAF"/>
    <w:rsid w:val="00F64245"/>
    <w:rsid w:val="00F77BC8"/>
    <w:rsid w:val="00F95CC6"/>
    <w:rsid w:val="00FA17FA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8D974F-D3D3-446E-90D8-85985090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6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33E0"/>
    <w:pPr>
      <w:ind w:left="720"/>
      <w:contextualSpacing/>
    </w:pPr>
  </w:style>
  <w:style w:type="table" w:styleId="Rcsostblzat">
    <w:name w:val="Table Grid"/>
    <w:basedOn w:val="Normltblzat"/>
    <w:uiPriority w:val="39"/>
    <w:rsid w:val="005F5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41F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41FF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lb">
    <w:name w:val="footer"/>
    <w:basedOn w:val="Norml"/>
    <w:link w:val="llbChar"/>
    <w:uiPriority w:val="99"/>
    <w:unhideWhenUsed/>
    <w:rsid w:val="00541F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1FF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FF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FF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kingstone\Munk&#225;stan&#225;cs-2\ad&#243;\2015\b&#233;rt&#225;rgyal&#225;s\t&#225;bl&#225;k-b&#233;rt&#225;rgyal&#225;shoz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sz="1800"/>
              <a:t>Bérek és létminimum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 bérek vásárlő értéke'!$A$6</c:f>
              <c:strCache>
                <c:ptCount val="1"/>
                <c:pt idx="0">
                  <c:v>1 aktív korú felnőtt létminimuma, Ft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értéke'!$B$6:$M$6</c:f>
            </c:numRef>
          </c:val>
        </c:ser>
        <c:ser>
          <c:idx val="1"/>
          <c:order val="1"/>
          <c:tx>
            <c:strRef>
              <c:f>'a bérek vásárlő értéke'!$A$7</c:f>
              <c:strCache>
                <c:ptCount val="1"/>
                <c:pt idx="0">
                  <c:v>Létmin. Index (előző év=100%)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értéke'!$B$7:$M$7</c:f>
            </c:numRef>
          </c:val>
        </c:ser>
        <c:ser>
          <c:idx val="2"/>
          <c:order val="2"/>
          <c:tx>
            <c:strRef>
              <c:f>'a bérek vásárlő értéke'!$A$8</c:f>
              <c:strCache>
                <c:ptCount val="1"/>
                <c:pt idx="0">
                  <c:v>Létminimum növekedés, Ft/év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értéke'!$B$8:$M$8</c:f>
            </c:numRef>
          </c:val>
        </c:ser>
        <c:ser>
          <c:idx val="3"/>
          <c:order val="3"/>
          <c:tx>
            <c:strRef>
              <c:f>'a bérek vásárlő értéke'!$A$9</c:f>
              <c:strCache>
                <c:ptCount val="1"/>
                <c:pt idx="0">
                  <c:v>Fogy. Árindex  (előző év=100%)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értéke'!$B$9:$M$9</c:f>
            </c:numRef>
          </c:val>
        </c:ser>
        <c:ser>
          <c:idx val="4"/>
          <c:order val="4"/>
          <c:tx>
            <c:strRef>
              <c:f>'a bérek vásárlő értéke'!$A$10</c:f>
              <c:strCache>
                <c:ptCount val="1"/>
                <c:pt idx="0">
                  <c:v>Bruttó fizikai átlagbér a vesenyszférában, Ft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értéke'!$B$10:$M$10</c:f>
            </c:numRef>
          </c:val>
        </c:ser>
        <c:ser>
          <c:idx val="5"/>
          <c:order val="5"/>
          <c:tx>
            <c:strRef>
              <c:f>'a bérek vásárlő értéke'!$A$11</c:f>
              <c:strCache>
                <c:ptCount val="1"/>
                <c:pt idx="0">
                  <c:v>Bruttó fizikai átlagbér index a vesenyszférában  (előző év=100%)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értéke'!$B$11:$M$11</c:f>
            </c:numRef>
          </c:val>
        </c:ser>
        <c:ser>
          <c:idx val="6"/>
          <c:order val="6"/>
          <c:tx>
            <c:strRef>
              <c:f>'a bérek vásárlő értéke'!$A$12</c:f>
              <c:strCache>
                <c:ptCount val="1"/>
                <c:pt idx="0">
                  <c:v>Nettó minimálbér, Ft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értéke'!$B$12:$M$12</c:f>
            </c:numRef>
          </c:val>
        </c:ser>
        <c:ser>
          <c:idx val="7"/>
          <c:order val="7"/>
          <c:tx>
            <c:strRef>
              <c:f>'a bérek vásárlő értéke'!$A$13</c:f>
              <c:strCache>
                <c:ptCount val="1"/>
                <c:pt idx="0">
                  <c:v>Bruttó fizikai átlagbér nettó értéke, Ft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értéke'!$B$13:$M$13</c:f>
            </c:numRef>
          </c:val>
        </c:ser>
        <c:ser>
          <c:idx val="8"/>
          <c:order val="8"/>
          <c:tx>
            <c:strRef>
              <c:f>'a bérek vásárlő értéke'!$A$14</c:f>
              <c:strCache>
                <c:ptCount val="1"/>
                <c:pt idx="0">
                  <c:v>Nettó fizikai átlagbér index a vesenyszférában (előző év=100%)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értéke'!$B$14:$M$14</c:f>
            </c:numRef>
          </c:val>
        </c:ser>
        <c:ser>
          <c:idx val="9"/>
          <c:order val="9"/>
          <c:tx>
            <c:strRef>
              <c:f>'a bérek vásárlő értéke'!$A$15</c:f>
              <c:strCache>
                <c:ptCount val="1"/>
                <c:pt idx="0">
                  <c:v>Bruttó minimálbér, Ft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értéke'!$B$15:$M$15</c:f>
            </c:numRef>
          </c:val>
        </c:ser>
        <c:ser>
          <c:idx val="10"/>
          <c:order val="10"/>
          <c:tx>
            <c:strRef>
              <c:f>'a bérek vásárlő értéke'!$A$16</c:f>
              <c:strCache>
                <c:ptCount val="1"/>
                <c:pt idx="0">
                  <c:v>Bruttó minimálbér index (előző év=100%)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értéke'!$B$16:$M$16</c:f>
            </c:numRef>
          </c:val>
        </c:ser>
        <c:ser>
          <c:idx val="11"/>
          <c:order val="11"/>
          <c:tx>
            <c:strRef>
              <c:f>'a bérek vásárlő értéke'!$A$17</c:f>
              <c:strCache>
                <c:ptCount val="1"/>
                <c:pt idx="0">
                  <c:v>Nettó minimálbér index (előző év=100%)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értéke'!$B$17:$M$17</c:f>
            </c:numRef>
          </c:val>
        </c:ser>
        <c:ser>
          <c:idx val="12"/>
          <c:order val="12"/>
          <c:tx>
            <c:strRef>
              <c:f>'a bérek vásárlő értéke'!$A$18</c:f>
              <c:strCache>
                <c:ptCount val="1"/>
                <c:pt idx="0">
                  <c:v>Közmunkabér 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értéke'!$B$18:$M$18</c:f>
            </c:numRef>
          </c:val>
        </c:ser>
        <c:ser>
          <c:idx val="13"/>
          <c:order val="13"/>
          <c:tx>
            <c:strRef>
              <c:f>'a bérek vásárlő értéke'!$A$19</c:f>
              <c:strCache>
                <c:ptCount val="1"/>
                <c:pt idx="0">
                  <c:v>Nettó min bér/létminimum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értéke'!$B$19:$M$19</c:f>
            </c:numRef>
          </c:val>
        </c:ser>
        <c:ser>
          <c:idx val="14"/>
          <c:order val="14"/>
          <c:tx>
            <c:strRef>
              <c:f>'a bérek vásárlő értéke'!$A$20</c:f>
              <c:strCache>
                <c:ptCount val="1"/>
                <c:pt idx="0">
                  <c:v>Nettó fizikai átlagkereset/létinimum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értéke'!$B$20:$M$20</c:f>
            </c:numRef>
          </c:val>
        </c:ser>
        <c:ser>
          <c:idx val="15"/>
          <c:order val="15"/>
          <c:tx>
            <c:strRef>
              <c:f>'a bérek vásárlő értéke'!$A$21</c:f>
              <c:strCache>
                <c:ptCount val="1"/>
                <c:pt idx="0">
                  <c:v>A fizikai átlagbér reál indexe(előző év=100%)</c:v>
                </c:pt>
              </c:strCache>
            </c:strRef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értéke'!$B$21:$M$21</c:f>
            </c:numRef>
          </c:val>
        </c:ser>
        <c:ser>
          <c:idx val="16"/>
          <c:order val="16"/>
          <c:tx>
            <c:strRef>
              <c:f>'a bérek vásárlő értéke'!$A$22</c:f>
              <c:strCache>
                <c:ptCount val="1"/>
                <c:pt idx="0">
                  <c:v>A minimálbér reál indexe (előző év=100%)</c:v>
                </c:pt>
              </c:strCache>
            </c:strRef>
          </c:tx>
          <c:spPr>
            <a:solidFill>
              <a:schemeClr val="accent5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értéke'!$B$22:$M$22</c:f>
            </c:numRef>
          </c:val>
        </c:ser>
        <c:ser>
          <c:idx val="17"/>
          <c:order val="17"/>
          <c:tx>
            <c:strRef>
              <c:f>'a bérek vásárlő értéke'!$A$23</c:f>
              <c:strCache>
                <c:ptCount val="1"/>
              </c:strCache>
            </c:strRef>
          </c:tx>
          <c:spPr>
            <a:solidFill>
              <a:schemeClr val="accent6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értéke'!$B$23:$M$23</c:f>
            </c:numRef>
          </c:val>
        </c:ser>
        <c:ser>
          <c:idx val="18"/>
          <c:order val="18"/>
          <c:tx>
            <c:strRef>
              <c:f>'a bérek vásárlő értéke'!$A$24</c:f>
              <c:strCache>
                <c:ptCount val="1"/>
                <c:pt idx="0">
                  <c:v>Családi létminimum, 2 felnőtt 2 gyermekkel, Ft</c:v>
                </c:pt>
              </c:strCache>
            </c:strRef>
          </c:tx>
          <c:spPr>
            <a:solidFill>
              <a:schemeClr val="accent1">
                <a:lumMod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értéke'!$B$24:$M$24</c:f>
            </c:numRef>
          </c:val>
        </c:ser>
        <c:ser>
          <c:idx val="19"/>
          <c:order val="19"/>
          <c:tx>
            <c:strRef>
              <c:f>'a bérek vásárlő értéke'!$A$25</c:f>
              <c:strCache>
                <c:ptCount val="1"/>
                <c:pt idx="0">
                  <c:v>3 gyerekes családi létminimum, Ft növekedés/év</c:v>
                </c:pt>
              </c:strCache>
            </c:strRef>
          </c:tx>
          <c:spPr>
            <a:solidFill>
              <a:schemeClr val="accent2">
                <a:lumMod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értéke'!$B$25:$M$25</c:f>
            </c:numRef>
          </c:val>
        </c:ser>
        <c:ser>
          <c:idx val="20"/>
          <c:order val="20"/>
          <c:tx>
            <c:strRef>
              <c:f>'a bérek vásárlő értéke'!$A$26</c:f>
              <c:strCache>
                <c:ptCount val="1"/>
                <c:pt idx="0">
                  <c:v>Családi létminimum, 2 felnőtt 3 gyermekkel, Ft</c:v>
                </c:pt>
              </c:strCache>
            </c:strRef>
          </c:tx>
          <c:spPr>
            <a:solidFill>
              <a:schemeClr val="accent3">
                <a:lumMod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értéke'!$B$26:$M$26</c:f>
            </c:numRef>
          </c:val>
        </c:ser>
        <c:ser>
          <c:idx val="21"/>
          <c:order val="21"/>
          <c:tx>
            <c:strRef>
              <c:f>'a bérek vásárlő értéke'!$A$27</c:f>
              <c:strCache>
                <c:ptCount val="1"/>
                <c:pt idx="0">
                  <c:v>3 gyerekes családi létminimum, Ft növekedés/év</c:v>
                </c:pt>
              </c:strCache>
            </c:strRef>
          </c:tx>
          <c:spPr>
            <a:solidFill>
              <a:schemeClr val="accent4">
                <a:lumMod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értéke'!$B$27:$M$27</c:f>
            </c:numRef>
          </c:val>
        </c:ser>
        <c:ser>
          <c:idx val="22"/>
          <c:order val="22"/>
          <c:tx>
            <c:strRef>
              <c:f>'a bérek vásárlő értéke'!$A$28</c:f>
              <c:strCache>
                <c:ptCount val="1"/>
                <c:pt idx="0">
                  <c:v>Családi pótlék 2 kereső 2 gyerek, Ft</c:v>
                </c:pt>
              </c:strCache>
            </c:strRef>
          </c:tx>
          <c:spPr>
            <a:solidFill>
              <a:schemeClr val="accent5">
                <a:lumMod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értéke'!$B$28:$M$28</c:f>
            </c:numRef>
          </c:val>
        </c:ser>
        <c:ser>
          <c:idx val="23"/>
          <c:order val="23"/>
          <c:tx>
            <c:strRef>
              <c:f>'a bérek vásárlő értéke'!$A$29</c:f>
              <c:strCache>
                <c:ptCount val="1"/>
                <c:pt idx="0">
                  <c:v>Családi pótlék 2 kereső 3 gyerek, Ft</c:v>
                </c:pt>
              </c:strCache>
            </c:strRef>
          </c:tx>
          <c:spPr>
            <a:solidFill>
              <a:schemeClr val="accent6">
                <a:lumMod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értéke'!$B$29:$M$29</c:f>
            </c:numRef>
          </c:val>
        </c:ser>
        <c:ser>
          <c:idx val="24"/>
          <c:order val="24"/>
          <c:tx>
            <c:strRef>
              <c:f>'a bérek vásárlő értéke'!$A$30</c:f>
              <c:strCache>
                <c:ptCount val="1"/>
                <c:pt idx="0">
                  <c:v>2 keresős 2 gyerekes minimálbéres családi nettó jövedelem adókedvezménnyel és családi pótlékkal, Ft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értéke'!$B$30:$M$30</c:f>
            </c:numRef>
          </c:val>
        </c:ser>
        <c:ser>
          <c:idx val="25"/>
          <c:order val="25"/>
          <c:tx>
            <c:strRef>
              <c:f>'a bérek vásárlő értéke'!$A$31</c:f>
              <c:strCache>
                <c:ptCount val="1"/>
                <c:pt idx="0">
                  <c:v>2 keresős 2 gyerekes  fizikai átlagbéres családi nettó jövedelem adókedvezménnyel és családi pótlékkal, Ft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értéke'!$B$31:$M$31</c:f>
            </c:numRef>
          </c:val>
        </c:ser>
        <c:ser>
          <c:idx val="26"/>
          <c:order val="26"/>
          <c:tx>
            <c:strRef>
              <c:f>'a bérek vásárlő értéke'!$A$32</c:f>
              <c:strCache>
                <c:ptCount val="1"/>
                <c:pt idx="0">
                  <c:v>2 keresős 3 gyerekes  minimálbéres családi nettó jövedelem adókedvezménnyel és családi pótlékkal, Ft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értéke'!$B$32:$M$32</c:f>
            </c:numRef>
          </c:val>
        </c:ser>
        <c:ser>
          <c:idx val="27"/>
          <c:order val="27"/>
          <c:tx>
            <c:strRef>
              <c:f>'a bérek vásárlő értéke'!$A$33</c:f>
              <c:strCache>
                <c:ptCount val="1"/>
                <c:pt idx="0">
                  <c:v>2 keresős 3 gyerekes fizikai átlagbéres családi nettó jövedelem adókedvezménnyel és családi pótlékkal, Ft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értéke'!$B$33:$M$33</c:f>
            </c:numRef>
          </c:val>
        </c:ser>
        <c:ser>
          <c:idx val="28"/>
          <c:order val="28"/>
          <c:tx>
            <c:strRef>
              <c:f>'a bérek vásárlő értéke'!$A$34</c:f>
              <c:strCache>
                <c:ptCount val="1"/>
                <c:pt idx="0">
                  <c:v>2 keresős 2 gyerekes  minimálbéres családi nettó jövedelem aránya a családi létminimumhoz képest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értéke'!$B$34:$M$34</c:f>
            </c:numRef>
          </c:val>
        </c:ser>
        <c:ser>
          <c:idx val="29"/>
          <c:order val="29"/>
          <c:tx>
            <c:strRef>
              <c:f>'a bérek vásárlő értéke'!$A$35</c:f>
              <c:strCache>
                <c:ptCount val="1"/>
                <c:pt idx="0">
                  <c:v>2 keresős 3 gyerekes  minimálbéres családi nettó jövedelem aránya a családi létminimumhoz képest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értéke'!$B$35:$M$35</c:f>
            </c:numRef>
          </c:val>
        </c:ser>
        <c:ser>
          <c:idx val="30"/>
          <c:order val="30"/>
          <c:tx>
            <c:strRef>
              <c:f>'a bérek vásárlő értéke'!$A$36</c:f>
              <c:strCache>
                <c:ptCount val="1"/>
                <c:pt idx="0">
                  <c:v>2 keresős 2 gyerekes fizikai átlegbéres családi nettó jövedelem aránya a családi létminimumhoz képest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értéke'!$B$36:$M$36</c:f>
            </c:numRef>
          </c:val>
        </c:ser>
        <c:ser>
          <c:idx val="31"/>
          <c:order val="31"/>
          <c:tx>
            <c:strRef>
              <c:f>'a bérek vásárlő értéke'!$A$37</c:f>
              <c:strCache>
                <c:ptCount val="1"/>
                <c:pt idx="0">
                  <c:v>2 keresős 3 gyerekes fizikai átlagbéres családi nettó jövedelem aránya a családi létminimumhoz képest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értéke'!$B$37:$M$37</c:f>
            </c:numRef>
          </c:val>
        </c:ser>
        <c:ser>
          <c:idx val="32"/>
          <c:order val="32"/>
          <c:tx>
            <c:strRef>
              <c:f>'a bérek vásárlő értéke'!$A$38</c:f>
              <c:strCache>
                <c:ptCount val="1"/>
              </c:strCache>
            </c:strRef>
          </c:tx>
          <c:spPr>
            <a:solidFill>
              <a:schemeClr val="accent3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értéke'!$B$38:$M$38</c:f>
            </c:numRef>
          </c:val>
        </c:ser>
        <c:ser>
          <c:idx val="33"/>
          <c:order val="33"/>
          <c:tx>
            <c:strRef>
              <c:f>'a bérek vásárlő értéke'!$A$39</c:f>
              <c:strCache>
                <c:ptCount val="1"/>
                <c:pt idx="0">
                  <c:v>Nettó minimálbér/létminimum</c:v>
                </c:pt>
              </c:strCache>
            </c:strRef>
          </c:tx>
          <c:spPr>
            <a:solidFill>
              <a:schemeClr val="accent4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értéke'!$B$39:$M$39</c:f>
              <c:numCache>
                <c:formatCode>0.0%</c:formatCode>
                <c:ptCount val="4"/>
                <c:pt idx="0">
                  <c:v>0.76503759398496241</c:v>
                </c:pt>
                <c:pt idx="1">
                  <c:v>0.70465116279069773</c:v>
                </c:pt>
                <c:pt idx="2">
                  <c:v>0.7592407592407594</c:v>
                </c:pt>
                <c:pt idx="3">
                  <c:v>0.7774969019664919</c:v>
                </c:pt>
              </c:numCache>
            </c:numRef>
          </c:val>
        </c:ser>
        <c:ser>
          <c:idx val="34"/>
          <c:order val="34"/>
          <c:tx>
            <c:strRef>
              <c:f>'a bérek vásárlő értéke'!$A$40</c:f>
              <c:strCache>
                <c:ptCount val="1"/>
                <c:pt idx="0">
                  <c:v>Nettó fizikai átlagbér/létminimum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 bérek vásárlő értéke'!$B$5:$M$5</c:f>
              <c:strCache>
                <c:ptCount val="4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2015 várható (1.04)</c:v>
                </c:pt>
              </c:strCache>
            </c:strRef>
          </c:cat>
          <c:val>
            <c:numRef>
              <c:f>'a bérek vásárlő értéke'!$B$40:$M$40</c:f>
              <c:numCache>
                <c:formatCode>0.0%</c:formatCode>
                <c:ptCount val="4"/>
                <c:pt idx="0">
                  <c:v>1.2851046535257062</c:v>
                </c:pt>
                <c:pt idx="1">
                  <c:v>1.2212674418604652</c:v>
                </c:pt>
                <c:pt idx="2">
                  <c:v>1.2959840159840161</c:v>
                </c:pt>
                <c:pt idx="3">
                  <c:v>1.3344731647419061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2026224"/>
        <c:axId val="472025832"/>
      </c:barChart>
      <c:catAx>
        <c:axId val="472026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72025832"/>
        <c:crosses val="autoZero"/>
        <c:auto val="1"/>
        <c:lblAlgn val="ctr"/>
        <c:lblOffset val="100"/>
        <c:noMultiLvlLbl val="0"/>
      </c:catAx>
      <c:valAx>
        <c:axId val="472025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72026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0.09064</cdr:x>
      <cdr:y>0.36062</cdr:y>
    </cdr:from>
    <cdr:to>
      <cdr:x>1</cdr:x>
      <cdr:y>0.38726</cdr:y>
    </cdr:to>
    <cdr:sp macro="" textlink="">
      <cdr:nvSpPr>
        <cdr:cNvPr id="2" name="Jobbra nyíl 1"/>
        <cdr:cNvSpPr/>
      </cdr:nvSpPr>
      <cdr:spPr>
        <a:xfrm xmlns:a="http://schemas.openxmlformats.org/drawingml/2006/main">
          <a:off x="481369" y="1321521"/>
          <a:ext cx="4829135" cy="97628"/>
        </a:xfrm>
        <a:prstGeom xmlns:a="http://schemas.openxmlformats.org/drawingml/2006/main" prst="right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hu-HU"/>
        </a:p>
      </cdr:txBody>
    </cdr:sp>
  </cdr:relSizeAnchor>
</c:userShape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1948</Words>
  <Characters>13446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lajtai gyorgy2</dc:creator>
  <cp:keywords/>
  <dc:description/>
  <cp:lastModifiedBy>lajtai gyorgy2</cp:lastModifiedBy>
  <cp:revision>8</cp:revision>
  <cp:lastPrinted>2015-11-26T20:25:00Z</cp:lastPrinted>
  <dcterms:created xsi:type="dcterms:W3CDTF">2015-11-26T20:23:00Z</dcterms:created>
  <dcterms:modified xsi:type="dcterms:W3CDTF">2016-02-01T08:04:00Z</dcterms:modified>
</cp:coreProperties>
</file>