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23" w:rsidRPr="005918BA" w:rsidRDefault="00447523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Bérek és a munkaerőpiac</w:t>
      </w:r>
    </w:p>
    <w:p w:rsidR="00447523" w:rsidRPr="005918BA" w:rsidRDefault="00447523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447523" w:rsidRPr="005918BA" w:rsidRDefault="00447523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5918BA">
        <w:rPr>
          <w:rFonts w:cs="Arial"/>
          <w:color w:val="222222"/>
          <w:sz w:val="24"/>
          <w:szCs w:val="24"/>
          <w:shd w:val="clear" w:color="auto" w:fill="FFFFFF"/>
        </w:rPr>
        <w:t>Az egyre feszesebb munkaerőpiac hátterében több egymás hatását felerősítő folyamat áll:</w:t>
      </w:r>
    </w:p>
    <w:p w:rsidR="00447523" w:rsidRPr="005918BA" w:rsidRDefault="00447523" w:rsidP="00447523">
      <w:pPr>
        <w:pStyle w:val="Listaszerbekezds"/>
        <w:numPr>
          <w:ilvl w:val="0"/>
          <w:numId w:val="5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5918BA">
        <w:rPr>
          <w:rFonts w:cs="Arial"/>
          <w:color w:val="222222"/>
          <w:sz w:val="24"/>
          <w:szCs w:val="24"/>
          <w:shd w:val="clear" w:color="auto" w:fill="FFFFFF"/>
        </w:rPr>
        <w:t>a magyarországi bérszint növekvő elmaradása nemcsak az eurozóna fejlettebb tagországaitól, hanem a V4 országokétól is</w:t>
      </w:r>
      <w:r w:rsidR="007571A2" w:rsidRPr="005918BA">
        <w:rPr>
          <w:rFonts w:cs="Arial"/>
          <w:color w:val="222222"/>
          <w:sz w:val="24"/>
          <w:szCs w:val="24"/>
          <w:shd w:val="clear" w:color="auto" w:fill="FFFFFF"/>
        </w:rPr>
        <w:t>,</w:t>
      </w:r>
    </w:p>
    <w:p w:rsidR="00447523" w:rsidRDefault="00543820" w:rsidP="00447523">
      <w:pPr>
        <w:pStyle w:val="Listaszerbekezds"/>
        <w:numPr>
          <w:ilvl w:val="0"/>
          <w:numId w:val="5"/>
        </w:num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a demográfiai okok, az népesség idősödése, </w:t>
      </w:r>
      <w:r w:rsidR="00447523" w:rsidRPr="005918BA">
        <w:rPr>
          <w:rFonts w:cs="Arial"/>
          <w:color w:val="222222"/>
          <w:sz w:val="24"/>
          <w:szCs w:val="24"/>
          <w:shd w:val="clear" w:color="auto" w:fill="FFFFFF"/>
        </w:rPr>
        <w:t>amit fokoz az idősebb munkavállalók igen rossz fizikai-egészségi állapota és alacsony képzettsége,</w:t>
      </w:r>
    </w:p>
    <w:p w:rsidR="00543820" w:rsidRPr="005918BA" w:rsidRDefault="00543820" w:rsidP="00447523">
      <w:pPr>
        <w:pStyle w:val="Listaszerbekezds"/>
        <w:numPr>
          <w:ilvl w:val="0"/>
          <w:numId w:val="5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5918BA">
        <w:rPr>
          <w:rFonts w:cs="Arial"/>
          <w:color w:val="222222"/>
          <w:sz w:val="24"/>
          <w:szCs w:val="24"/>
          <w:shd w:val="clear" w:color="auto" w:fill="FFFFFF"/>
        </w:rPr>
        <w:t>a fiatal  munkaerő utánpótlásának hiánya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és elvándorlása,</w:t>
      </w:r>
    </w:p>
    <w:p w:rsidR="00447523" w:rsidRPr="005918BA" w:rsidRDefault="00447523" w:rsidP="00447523">
      <w:pPr>
        <w:pStyle w:val="Listaszerbekezds"/>
        <w:numPr>
          <w:ilvl w:val="0"/>
          <w:numId w:val="5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a szakképzés </w:t>
      </w:r>
      <w:r w:rsidR="007571A2" w:rsidRPr="005918BA">
        <w:rPr>
          <w:rFonts w:cs="Arial"/>
          <w:color w:val="222222"/>
          <w:sz w:val="24"/>
          <w:szCs w:val="24"/>
          <w:shd w:val="clear" w:color="auto" w:fill="FFFFFF"/>
        </w:rPr>
        <w:t>gyenge minősége, amit a munkahelyi képzés sem tud pótolni,</w:t>
      </w:r>
    </w:p>
    <w:p w:rsidR="007571A2" w:rsidRPr="005918BA" w:rsidRDefault="007571A2" w:rsidP="00447523">
      <w:pPr>
        <w:pStyle w:val="Listaszerbekezds"/>
        <w:numPr>
          <w:ilvl w:val="0"/>
          <w:numId w:val="5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a közfoglalkoztatás túlzott súlya, </w:t>
      </w:r>
      <w:r w:rsidR="00F568CF">
        <w:rPr>
          <w:rFonts w:cs="Arial"/>
          <w:color w:val="222222"/>
          <w:sz w:val="24"/>
          <w:szCs w:val="24"/>
          <w:shd w:val="clear" w:color="auto" w:fill="FFFFFF"/>
        </w:rPr>
        <w:t xml:space="preserve">a közfoglalkoztatás  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>munkaerőpiaci alkalmazkodást hátráltató következményei.</w:t>
      </w:r>
    </w:p>
    <w:p w:rsidR="007571A2" w:rsidRPr="005918BA" w:rsidRDefault="007571A2" w:rsidP="007571A2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A jelen áttekintés a fenti tényezők közül </w:t>
      </w: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a bérek kérdését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emeli ki, de  érintőlegesen kitér  a többi tényező hatására is.</w:t>
      </w:r>
    </w:p>
    <w:p w:rsidR="00C95379" w:rsidRPr="005918BA" w:rsidRDefault="00C95379" w:rsidP="007571A2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Szakszervezeti </w:t>
      </w:r>
      <w:r w:rsidR="007571A2" w:rsidRPr="005918BA">
        <w:rPr>
          <w:rFonts w:cs="Arial"/>
          <w:color w:val="222222"/>
          <w:sz w:val="24"/>
          <w:szCs w:val="24"/>
          <w:shd w:val="clear" w:color="auto" w:fill="FFFFFF"/>
        </w:rPr>
        <w:t>megközelítésben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E54A79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talán meglepő, </w:t>
      </w:r>
      <w:r w:rsidR="007571A2" w:rsidRPr="005918BA">
        <w:rPr>
          <w:rFonts w:cs="Arial"/>
          <w:color w:val="222222"/>
          <w:sz w:val="24"/>
          <w:szCs w:val="24"/>
          <w:shd w:val="clear" w:color="auto" w:fill="FFFFFF"/>
        </w:rPr>
        <w:t>hogy</w:t>
      </w:r>
      <w:r w:rsidR="00E54A79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nem a bérrel kezd</w:t>
      </w:r>
      <w:r w:rsidR="007571A2" w:rsidRPr="005918BA">
        <w:rPr>
          <w:rFonts w:cs="Arial"/>
          <w:color w:val="222222"/>
          <w:sz w:val="24"/>
          <w:szCs w:val="24"/>
          <w:shd w:val="clear" w:color="auto" w:fill="FFFFFF"/>
        </w:rPr>
        <w:t>jük,</w:t>
      </w:r>
      <w:r w:rsidR="00E54A79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bár oda fog</w:t>
      </w:r>
      <w:r w:rsidR="007571A2" w:rsidRPr="005918BA">
        <w:rPr>
          <w:rFonts w:cs="Arial"/>
          <w:color w:val="222222"/>
          <w:sz w:val="24"/>
          <w:szCs w:val="24"/>
          <w:shd w:val="clear" w:color="auto" w:fill="FFFFFF"/>
        </w:rPr>
        <w:t>un</w:t>
      </w:r>
      <w:r w:rsidR="00E54A79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k kilyukadni.  </w:t>
      </w:r>
      <w:r w:rsidR="00D64DED" w:rsidRPr="005918BA">
        <w:rPr>
          <w:rFonts w:cs="Arial"/>
          <w:color w:val="222222"/>
          <w:sz w:val="24"/>
          <w:szCs w:val="24"/>
          <w:shd w:val="clear" w:color="auto" w:fill="FFFFFF"/>
        </w:rPr>
        <w:t>A legfontosabb teendő</w:t>
      </w:r>
      <w:r w:rsidR="00E54A79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nek </w:t>
      </w:r>
      <w:r w:rsidR="00E54A79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821444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a készen kapott </w:t>
      </w:r>
      <w:r w:rsidR="00E54A79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(az iskolából hozott) </w:t>
      </w:r>
      <w:r w:rsidR="00821444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tudás</w:t>
      </w:r>
      <w:r w:rsidR="00E54A79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folyamatos fejlesztését, karbantartását, a tapasztalat és a lojalitás nagyobb megbecsülését tart</w:t>
      </w:r>
      <w:r w:rsidR="007571A2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juk</w:t>
      </w:r>
      <w:r w:rsidR="00E54A79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.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  Magyarország Európában 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>az utolsók között van a rendszeres munkahelyi képzések</w:t>
      </w:r>
      <w:r w:rsidR="005340FC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gyakoriságát 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>i</w:t>
      </w:r>
      <w:r w:rsidR="00D64DED" w:rsidRPr="005918BA">
        <w:rPr>
          <w:rFonts w:cs="Arial"/>
          <w:color w:val="222222"/>
          <w:sz w:val="24"/>
          <w:szCs w:val="24"/>
          <w:shd w:val="clear" w:color="auto" w:fill="FFFFFF"/>
        </w:rPr>
        <w:t>lletően  Ez két dol</w:t>
      </w:r>
      <w:r w:rsidR="005340FC" w:rsidRPr="005918BA">
        <w:rPr>
          <w:rFonts w:cs="Arial"/>
          <w:color w:val="222222"/>
          <w:sz w:val="24"/>
          <w:szCs w:val="24"/>
          <w:shd w:val="clear" w:color="auto" w:fill="FFFFFF"/>
        </w:rPr>
        <w:t>g</w:t>
      </w:r>
      <w:r w:rsidR="00D64DED" w:rsidRPr="005918BA">
        <w:rPr>
          <w:rFonts w:cs="Arial"/>
          <w:color w:val="222222"/>
          <w:sz w:val="24"/>
          <w:szCs w:val="24"/>
          <w:shd w:val="clear" w:color="auto" w:fill="FFFFFF"/>
        </w:rPr>
        <w:t>ot</w:t>
      </w:r>
      <w:r w:rsidR="005340FC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is </w:t>
      </w:r>
      <w:r w:rsidR="00D64DED" w:rsidRPr="005918BA">
        <w:rPr>
          <w:rFonts w:cs="Arial"/>
          <w:color w:val="222222"/>
          <w:sz w:val="24"/>
          <w:szCs w:val="24"/>
          <w:shd w:val="clear" w:color="auto" w:fill="FFFFFF"/>
        </w:rPr>
        <w:t>jelez: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D64DED" w:rsidRPr="005918BA">
        <w:rPr>
          <w:rFonts w:cs="Arial"/>
          <w:color w:val="222222"/>
          <w:sz w:val="24"/>
          <w:szCs w:val="24"/>
          <w:shd w:val="clear" w:color="auto" w:fill="FFFFFF"/>
        </w:rPr>
        <w:t>egyfelől a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hazai 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>termékek, szolgáltatások alacsony tudás tartalmá</w:t>
      </w:r>
      <w:r w:rsidR="00D64DED" w:rsidRPr="005918BA">
        <w:rPr>
          <w:rFonts w:cs="Arial"/>
          <w:color w:val="222222"/>
          <w:sz w:val="24"/>
          <w:szCs w:val="24"/>
          <w:shd w:val="clear" w:color="auto" w:fill="FFFFFF"/>
        </w:rPr>
        <w:t>t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>, hozzáadott értéké</w:t>
      </w:r>
      <w:r w:rsidR="00D64DED" w:rsidRPr="005918BA">
        <w:rPr>
          <w:rFonts w:cs="Arial"/>
          <w:color w:val="222222"/>
          <w:sz w:val="24"/>
          <w:szCs w:val="24"/>
          <w:shd w:val="clear" w:color="auto" w:fill="FFFFFF"/>
        </w:rPr>
        <w:t>t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>, másrész</w:t>
      </w:r>
      <w:r w:rsidR="00DC1ABA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t az élő munka, mint termelési tényező 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>megbecsülésének</w:t>
      </w:r>
      <w:r w:rsidR="00DC1ABA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a</w:t>
      </w:r>
      <w:r w:rsidR="00D64DED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hiányát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C95379" w:rsidRPr="005918BA" w:rsidRDefault="00E54A79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A képzés megtérülése sem szakítható el azonban a bérektől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. A minap egy </w:t>
      </w: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kiskereskedelmi cég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munkahelyi képzési statisztikáit vizsgál</w:t>
      </w:r>
      <w:r w:rsidR="00C95379" w:rsidRPr="005918BA">
        <w:rPr>
          <w:rFonts w:cs="Arial"/>
          <w:color w:val="222222"/>
          <w:sz w:val="24"/>
          <w:szCs w:val="24"/>
          <w:shd w:val="clear" w:color="auto" w:fill="FFFFFF"/>
        </w:rPr>
        <w:t>va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meglepve </w:t>
      </w:r>
      <w:r w:rsidR="007571A2" w:rsidRPr="005918BA">
        <w:rPr>
          <w:rFonts w:cs="Arial"/>
          <w:color w:val="222222"/>
          <w:sz w:val="24"/>
          <w:szCs w:val="24"/>
          <w:shd w:val="clear" w:color="auto" w:fill="FFFFFF"/>
        </w:rPr>
        <w:t>tapasztaltuk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, hogy </w:t>
      </w: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a fizikai állományban a betanító képzésben részt vettek aránya az átlagos állományi létszám 125%-</w:t>
      </w:r>
      <w:r w:rsidR="00C95379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át teszi ki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. Aztán kiderült az ok: a vállalatnál a fizikai munkakörben dolgozók </w:t>
      </w:r>
      <w:r w:rsidR="00C95379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cserélődési </w:t>
      </w: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rátája 33%</w:t>
      </w:r>
      <w:r w:rsidR="007571A2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, amiben kiemelkedő szerepet játszik, hogy </w:t>
      </w:r>
      <w:r w:rsidR="007571A2" w:rsidRPr="005918BA">
        <w:rPr>
          <w:rFonts w:cs="Arial"/>
          <w:color w:val="222222"/>
          <w:sz w:val="24"/>
          <w:szCs w:val="24"/>
          <w:shd w:val="clear" w:color="auto" w:fill="FFFFFF"/>
        </w:rPr>
        <w:t>a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vállalat dolgozóinak döntő része </w:t>
      </w: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a minimálbéren, vagy annak közelében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kap fizetést.</w:t>
      </w:r>
      <w:r w:rsidR="00DC1ABA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A bérszint</w:t>
      </w:r>
      <w:r w:rsidR="007571A2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, ezen belül a relatív bérszint</w:t>
      </w: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nagysága tehát</w:t>
      </w:r>
      <w:r w:rsidR="00C95379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 a képzés hasznosulásán keresztül is</w:t>
      </w: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teljesítmény</w:t>
      </w:r>
      <w:r w:rsidR="00F568CF">
        <w:rPr>
          <w:rFonts w:cs="Arial"/>
          <w:b/>
          <w:color w:val="222222"/>
          <w:sz w:val="24"/>
          <w:szCs w:val="24"/>
          <w:shd w:val="clear" w:color="auto" w:fill="FFFFFF"/>
        </w:rPr>
        <w:t>t</w:t>
      </w: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alakító tényező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821444" w:rsidRPr="005918BA" w:rsidRDefault="00E54A79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A statisztikák </w:t>
      </w:r>
      <w:r w:rsidR="002D328D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pedig 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>meggyőzően mutatják, hogy a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magyar munkavállalók </w:t>
      </w: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átlagos </w:t>
      </w:r>
      <w:r w:rsidR="00821444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bér</w:t>
      </w:r>
      <w:r w:rsidR="00DC1ABA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színvonal</w:t>
      </w: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a, tehát nemcsak a minimál</w:t>
      </w:r>
      <w:r w:rsidR="00E01BB9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bér,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C95379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hanem </w:t>
      </w:r>
      <w:r w:rsidR="00C95379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az átlagos bér is</w:t>
      </w:r>
      <w:r w:rsidR="00C95379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>növekvő elmaradás</w:t>
      </w:r>
      <w:r w:rsidR="00DC1ABA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ban </w:t>
      </w:r>
      <w:r w:rsidR="00E01BB9" w:rsidRPr="005918BA">
        <w:rPr>
          <w:rFonts w:cs="Arial"/>
          <w:color w:val="222222"/>
          <w:sz w:val="24"/>
          <w:szCs w:val="24"/>
          <w:shd w:val="clear" w:color="auto" w:fill="FFFFFF"/>
        </w:rPr>
        <w:t>van</w:t>
      </w:r>
      <w:r w:rsidR="00C95379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="00F568CF">
        <w:rPr>
          <w:rFonts w:cs="Arial"/>
          <w:color w:val="222222"/>
          <w:sz w:val="24"/>
          <w:szCs w:val="24"/>
          <w:shd w:val="clear" w:color="auto" w:fill="FFFFFF"/>
        </w:rPr>
        <w:t>mind</w:t>
      </w:r>
      <w:r w:rsidR="00DC1ABA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a nyugat európai bérektől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="00F568CF">
        <w:rPr>
          <w:rFonts w:cs="Arial"/>
          <w:color w:val="222222"/>
          <w:sz w:val="24"/>
          <w:szCs w:val="24"/>
          <w:shd w:val="clear" w:color="auto" w:fill="FFFFFF"/>
        </w:rPr>
        <w:t>mind a Visegrádi csoport tagjaitól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DC1ABA" w:rsidRPr="005918BA" w:rsidRDefault="00C95379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Ennél a megállapításnál </w:t>
      </w:r>
      <w:r w:rsidR="00DC1ABA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világosan külön kell választani</w:t>
      </w:r>
      <w:r w:rsidR="00F568CF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a</w:t>
      </w:r>
      <w:r w:rsidR="00DC1ABA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két </w:t>
      </w:r>
      <w:r w:rsidR="005340FC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tényezőt:</w:t>
      </w:r>
    </w:p>
    <w:p w:rsidR="0054336B" w:rsidRPr="005918BA" w:rsidRDefault="007571A2" w:rsidP="007571A2">
      <w:pPr>
        <w:pStyle w:val="Listaszerbekezds"/>
        <w:numPr>
          <w:ilvl w:val="0"/>
          <w:numId w:val="6"/>
        </w:num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m</w:t>
      </w:r>
      <w:r w:rsidR="005340FC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agát az </w:t>
      </w:r>
      <w:r w:rsidR="00DC1ABA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alacsony bérszintet</w:t>
      </w:r>
      <w:r w:rsidR="00F568CF">
        <w:rPr>
          <w:rFonts w:cs="Arial"/>
          <w:b/>
          <w:color w:val="222222"/>
          <w:sz w:val="24"/>
          <w:szCs w:val="24"/>
          <w:shd w:val="clear" w:color="auto" w:fill="FFFFFF"/>
        </w:rPr>
        <w:t>, valamint e</w:t>
      </w:r>
      <w:r w:rsidR="005340FC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nnek </w:t>
      </w:r>
      <w:r w:rsidR="00DC1ABA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az alacsony bérszint</w:t>
      </w:r>
      <w:r w:rsidR="00D64DED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nek</w:t>
      </w:r>
      <w:r w:rsidR="00DC1ABA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404793" w:rsidRPr="00F568CF" w:rsidRDefault="005340FC" w:rsidP="00F568CF">
      <w:pPr>
        <w:pStyle w:val="Listaszerbekezds"/>
        <w:numPr>
          <w:ilvl w:val="0"/>
          <w:numId w:val="6"/>
        </w:num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a </w:t>
      </w:r>
      <w:r w:rsidR="00DC1ABA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növekvő elmaradását</w:t>
      </w:r>
      <w:r w:rsidR="00D64DED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a nálunk fejlettebb és a hozzánk ha</w:t>
      </w:r>
      <w:r w:rsidR="0054336B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sonló fejlettségű országokétól egyaránt.</w:t>
      </w:r>
    </w:p>
    <w:p w:rsidR="00DC1ABA" w:rsidRPr="005918BA" w:rsidRDefault="00C353C7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5918BA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Az alacsony bérszint</w:t>
      </w: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egy sor  statisztikai </w:t>
      </w:r>
      <w:r w:rsidR="003D295D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mutatóval </w:t>
      </w: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3D295D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igazolható:</w:t>
      </w:r>
    </w:p>
    <w:p w:rsidR="00C353C7" w:rsidRPr="005918BA" w:rsidRDefault="00C353C7" w:rsidP="00C353C7">
      <w:pPr>
        <w:pStyle w:val="Listaszerbekezds"/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</w:rPr>
      </w:pPr>
      <w:r w:rsidRPr="005918BA">
        <w:rPr>
          <w:rFonts w:eastAsia="Calibri"/>
          <w:b/>
          <w:sz w:val="24"/>
          <w:szCs w:val="24"/>
        </w:rPr>
        <w:t>Az európai recesszió  csúcsévéhez, 2009-hez képest</w:t>
      </w:r>
      <w:r w:rsidRPr="005918BA">
        <w:rPr>
          <w:rFonts w:eastAsia="Calibri"/>
          <w:sz w:val="24"/>
          <w:szCs w:val="24"/>
        </w:rPr>
        <w:t xml:space="preserve"> 6 év elteltével a bruttó fizikai átlagkeresetek ugyan 32%-kal nőttek, a nettó átlagkeresetek azonban  már csak 23%-kal, ha pedig az inflációt is tekintetbe vesszük, akkor</w:t>
      </w:r>
      <w:r w:rsidRPr="005918BA">
        <w:rPr>
          <w:rFonts w:eastAsia="Calibri"/>
          <w:b/>
          <w:sz w:val="24"/>
          <w:szCs w:val="24"/>
        </w:rPr>
        <w:t xml:space="preserve"> mindössze 5%-os a  fizikai átlagkereset vásárlóerejének növekedése, azaz éves átlagban kevesebb, mint 1%. </w:t>
      </w:r>
    </w:p>
    <w:p w:rsidR="00C95379" w:rsidRPr="005918BA" w:rsidRDefault="00C353C7" w:rsidP="00C95379">
      <w:pPr>
        <w:pStyle w:val="Listaszerbekezds"/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</w:rPr>
      </w:pPr>
      <w:r w:rsidRPr="005918BA">
        <w:rPr>
          <w:rFonts w:cs="Arial"/>
          <w:b/>
          <w:color w:val="222222"/>
          <w:sz w:val="24"/>
          <w:szCs w:val="24"/>
        </w:rPr>
        <w:lastRenderedPageBreak/>
        <w:t xml:space="preserve">A válság előtti utolsó évhez, </w:t>
      </w:r>
      <w:r w:rsidR="00C95379" w:rsidRPr="005918BA">
        <w:rPr>
          <w:rFonts w:cs="Arial"/>
          <w:b/>
          <w:color w:val="222222"/>
          <w:sz w:val="24"/>
          <w:szCs w:val="24"/>
        </w:rPr>
        <w:t xml:space="preserve"> </w:t>
      </w:r>
      <w:r w:rsidR="00C95379" w:rsidRPr="005918BA">
        <w:rPr>
          <w:rFonts w:cs="Arial"/>
          <w:color w:val="222222"/>
          <w:sz w:val="24"/>
          <w:szCs w:val="24"/>
        </w:rPr>
        <w:t xml:space="preserve"> </w:t>
      </w:r>
      <w:r w:rsidR="00C95379" w:rsidRPr="005918BA">
        <w:rPr>
          <w:rFonts w:cs="Arial"/>
          <w:b/>
          <w:color w:val="222222"/>
          <w:sz w:val="24"/>
          <w:szCs w:val="24"/>
        </w:rPr>
        <w:t>2007</w:t>
      </w:r>
      <w:r w:rsidRPr="005918BA">
        <w:rPr>
          <w:rFonts w:cs="Arial"/>
          <w:b/>
          <w:color w:val="222222"/>
          <w:sz w:val="24"/>
          <w:szCs w:val="24"/>
        </w:rPr>
        <w:t xml:space="preserve">-hez képest,  2014-re  </w:t>
      </w:r>
      <w:r w:rsidR="00C95379" w:rsidRPr="005918BA">
        <w:rPr>
          <w:rFonts w:cs="Arial"/>
          <w:b/>
          <w:color w:val="222222"/>
          <w:sz w:val="24"/>
          <w:szCs w:val="24"/>
        </w:rPr>
        <w:t>a bérek részesedése a GDP-</w:t>
      </w:r>
      <w:r w:rsidR="00C95379" w:rsidRPr="005918BA">
        <w:rPr>
          <w:rFonts w:cs="Arial"/>
          <w:color w:val="222222"/>
          <w:sz w:val="24"/>
          <w:szCs w:val="24"/>
        </w:rPr>
        <w:t xml:space="preserve">ben </w:t>
      </w:r>
      <w:r w:rsidR="00C95379" w:rsidRPr="005918BA">
        <w:rPr>
          <w:rFonts w:cs="Arial"/>
          <w:b/>
          <w:color w:val="222222"/>
          <w:sz w:val="24"/>
          <w:szCs w:val="24"/>
        </w:rPr>
        <w:t xml:space="preserve">750 MdFt-tal </w:t>
      </w:r>
      <w:r w:rsidRPr="005918BA">
        <w:rPr>
          <w:rFonts w:cs="Arial"/>
          <w:b/>
          <w:color w:val="222222"/>
          <w:sz w:val="24"/>
          <w:szCs w:val="24"/>
        </w:rPr>
        <w:t>szorult vissza</w:t>
      </w:r>
      <w:r w:rsidR="00C95379" w:rsidRPr="005918BA">
        <w:rPr>
          <w:rFonts w:cs="Arial"/>
          <w:color w:val="222222"/>
          <w:sz w:val="24"/>
          <w:szCs w:val="24"/>
        </w:rPr>
        <w:t>.  Másképpen fogalmazva meg ugyanezt</w:t>
      </w:r>
      <w:r w:rsidRPr="005918BA">
        <w:rPr>
          <w:rFonts w:cs="Arial"/>
          <w:color w:val="222222"/>
          <w:sz w:val="24"/>
          <w:szCs w:val="24"/>
        </w:rPr>
        <w:t xml:space="preserve"> a tényt</w:t>
      </w:r>
      <w:r w:rsidR="00C95379" w:rsidRPr="005918BA">
        <w:rPr>
          <w:rFonts w:cs="Arial"/>
          <w:color w:val="222222"/>
          <w:sz w:val="24"/>
          <w:szCs w:val="24"/>
        </w:rPr>
        <w:t>, a</w:t>
      </w:r>
      <w:r w:rsidR="00C95379" w:rsidRPr="005918BA">
        <w:rPr>
          <w:rFonts w:cs="Arial"/>
          <w:b/>
          <w:color w:val="222222"/>
          <w:sz w:val="24"/>
          <w:szCs w:val="24"/>
        </w:rPr>
        <w:t xml:space="preserve"> 2007-es bérarány  megmaradása esetén</w:t>
      </w:r>
      <w:r w:rsidR="00C95379" w:rsidRPr="005918BA">
        <w:rPr>
          <w:rFonts w:cs="Arial"/>
          <w:color w:val="222222"/>
          <w:sz w:val="24"/>
          <w:szCs w:val="24"/>
        </w:rPr>
        <w:t xml:space="preserve"> ennyivel több bruttó bérnek kellene ma a munkavállalókhoz kerülnie. </w:t>
      </w:r>
      <w:r w:rsidR="00C95379" w:rsidRPr="005918BA">
        <w:rPr>
          <w:rFonts w:cs="Arial"/>
          <w:b/>
          <w:color w:val="222222"/>
          <w:sz w:val="24"/>
          <w:szCs w:val="24"/>
        </w:rPr>
        <w:t>A szakszervezetek eredeti minimálbér emelési javaslata (a 9</w:t>
      </w:r>
      <w:r w:rsidRPr="005918BA">
        <w:rPr>
          <w:rFonts w:cs="Arial"/>
          <w:b/>
          <w:color w:val="222222"/>
          <w:sz w:val="24"/>
          <w:szCs w:val="24"/>
        </w:rPr>
        <w:t>%</w:t>
      </w:r>
      <w:r w:rsidR="00C95379" w:rsidRPr="005918BA">
        <w:rPr>
          <w:rFonts w:cs="Arial"/>
          <w:b/>
          <w:color w:val="222222"/>
          <w:sz w:val="24"/>
          <w:szCs w:val="24"/>
        </w:rPr>
        <w:t xml:space="preserve"> </w:t>
      </w:r>
      <w:r w:rsidRPr="005918BA">
        <w:rPr>
          <w:rFonts w:cs="Arial"/>
          <w:b/>
          <w:color w:val="222222"/>
          <w:sz w:val="24"/>
          <w:szCs w:val="24"/>
        </w:rPr>
        <w:t xml:space="preserve">-os </w:t>
      </w:r>
      <w:r w:rsidR="00C95379" w:rsidRPr="005918BA">
        <w:rPr>
          <w:rFonts w:cs="Arial"/>
          <w:b/>
          <w:color w:val="222222"/>
          <w:sz w:val="24"/>
          <w:szCs w:val="24"/>
        </w:rPr>
        <w:t>és a 13%</w:t>
      </w:r>
      <w:r w:rsidRPr="005918BA">
        <w:rPr>
          <w:rFonts w:cs="Arial"/>
          <w:b/>
          <w:color w:val="222222"/>
          <w:sz w:val="24"/>
          <w:szCs w:val="24"/>
        </w:rPr>
        <w:t>-os emelés</w:t>
      </w:r>
      <w:r w:rsidR="00C95379" w:rsidRPr="005918BA">
        <w:rPr>
          <w:rFonts w:cs="Arial"/>
          <w:b/>
          <w:color w:val="222222"/>
          <w:sz w:val="24"/>
          <w:szCs w:val="24"/>
        </w:rPr>
        <w:t>) összesen 120 MdFt-ba került volna,</w:t>
      </w:r>
      <w:r w:rsidR="00C95379" w:rsidRPr="005918BA">
        <w:rPr>
          <w:rFonts w:cs="Arial"/>
          <w:color w:val="222222"/>
          <w:sz w:val="24"/>
          <w:szCs w:val="24"/>
        </w:rPr>
        <w:t xml:space="preserve"> </w:t>
      </w:r>
      <w:r w:rsidR="00C95379" w:rsidRPr="005918BA">
        <w:rPr>
          <w:rFonts w:cs="Arial"/>
          <w:b/>
          <w:color w:val="222222"/>
          <w:sz w:val="24"/>
          <w:szCs w:val="24"/>
        </w:rPr>
        <w:t>azaz a hiányzó 750 MdFt kevesebb, mint 1/6-odába.</w:t>
      </w:r>
    </w:p>
    <w:p w:rsidR="00D40BFC" w:rsidRPr="005918BA" w:rsidRDefault="00D40BFC" w:rsidP="00C353C7">
      <w:pPr>
        <w:pStyle w:val="Listaszerbekezds"/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</w:rPr>
      </w:pPr>
      <w:r w:rsidRPr="005918BA">
        <w:rPr>
          <w:rFonts w:eastAsia="Calibri"/>
          <w:b/>
          <w:sz w:val="24"/>
          <w:szCs w:val="24"/>
        </w:rPr>
        <w:t xml:space="preserve">A szerény vásárlóerő növekedés egyik lényeges oka a nettó </w:t>
      </w:r>
      <w:r w:rsidR="00404793" w:rsidRPr="005918BA">
        <w:rPr>
          <w:rFonts w:eastAsia="Calibri"/>
          <w:b/>
          <w:sz w:val="24"/>
          <w:szCs w:val="24"/>
        </w:rPr>
        <w:t xml:space="preserve">/ </w:t>
      </w:r>
      <w:r w:rsidRPr="005918BA">
        <w:rPr>
          <w:rFonts w:eastAsia="Calibri"/>
          <w:b/>
          <w:sz w:val="24"/>
          <w:szCs w:val="24"/>
        </w:rPr>
        <w:t xml:space="preserve">bruttó bér arány </w:t>
      </w:r>
      <w:r w:rsidR="0054336B" w:rsidRPr="005918BA">
        <w:rPr>
          <w:rFonts w:eastAsia="Calibri"/>
          <w:b/>
          <w:sz w:val="24"/>
          <w:szCs w:val="24"/>
        </w:rPr>
        <w:t xml:space="preserve">romlása, a nettó bérek aránya </w:t>
      </w:r>
      <w:r w:rsidRPr="005918BA">
        <w:rPr>
          <w:rFonts w:eastAsia="Calibri"/>
          <w:b/>
          <w:sz w:val="24"/>
          <w:szCs w:val="24"/>
        </w:rPr>
        <w:t>az átlagbérek</w:t>
      </w:r>
      <w:r w:rsidR="00C353C7" w:rsidRPr="005918BA">
        <w:rPr>
          <w:rFonts w:eastAsia="Calibri"/>
          <w:b/>
          <w:sz w:val="24"/>
          <w:szCs w:val="24"/>
        </w:rPr>
        <w:t xml:space="preserve"> esetében </w:t>
      </w:r>
      <w:r w:rsidRPr="005918BA">
        <w:rPr>
          <w:rFonts w:eastAsia="Calibri"/>
          <w:b/>
          <w:sz w:val="24"/>
          <w:szCs w:val="24"/>
        </w:rPr>
        <w:t>71,5%-ról 65,5%-ra csökkent</w:t>
      </w:r>
      <w:r w:rsidR="00C353C7" w:rsidRPr="005918BA">
        <w:rPr>
          <w:rFonts w:eastAsia="Calibri"/>
          <w:b/>
          <w:sz w:val="24"/>
          <w:szCs w:val="24"/>
        </w:rPr>
        <w:t xml:space="preserve"> 2009-2015 között</w:t>
      </w:r>
      <w:r w:rsidRPr="005918BA">
        <w:rPr>
          <w:rFonts w:eastAsia="Calibri"/>
          <w:b/>
          <w:sz w:val="24"/>
          <w:szCs w:val="24"/>
        </w:rPr>
        <w:t xml:space="preserve">. </w:t>
      </w:r>
      <w:r w:rsidRPr="005918BA">
        <w:rPr>
          <w:rFonts w:eastAsia="Calibri"/>
          <w:sz w:val="24"/>
          <w:szCs w:val="24"/>
        </w:rPr>
        <w:t>A minimálbéreknél</w:t>
      </w:r>
      <w:r w:rsidR="0054336B" w:rsidRPr="005918BA">
        <w:rPr>
          <w:rFonts w:eastAsia="Calibri"/>
          <w:sz w:val="24"/>
          <w:szCs w:val="24"/>
        </w:rPr>
        <w:t xml:space="preserve">, valamint  </w:t>
      </w:r>
      <w:r w:rsidRPr="005918BA">
        <w:rPr>
          <w:rFonts w:eastAsia="Calibri"/>
          <w:sz w:val="24"/>
          <w:szCs w:val="24"/>
        </w:rPr>
        <w:t xml:space="preserve">a minimálbérek és az átlagbérek közé eső </w:t>
      </w:r>
      <w:r w:rsidR="00C353C7" w:rsidRPr="005918BA">
        <w:rPr>
          <w:rFonts w:eastAsia="Calibri"/>
          <w:b/>
          <w:sz w:val="24"/>
          <w:szCs w:val="24"/>
        </w:rPr>
        <w:t xml:space="preserve">alacsony </w:t>
      </w:r>
      <w:r w:rsidRPr="005918BA">
        <w:rPr>
          <w:rFonts w:eastAsia="Calibri"/>
          <w:b/>
          <w:sz w:val="24"/>
          <w:szCs w:val="24"/>
        </w:rPr>
        <w:t>béreknél</w:t>
      </w:r>
      <w:r w:rsidRPr="005918BA">
        <w:rPr>
          <w:rFonts w:eastAsia="Calibri"/>
          <w:sz w:val="24"/>
          <w:szCs w:val="24"/>
        </w:rPr>
        <w:t xml:space="preserve"> ennél</w:t>
      </w:r>
      <w:r w:rsidR="00C353C7" w:rsidRPr="005918BA">
        <w:rPr>
          <w:rFonts w:eastAsia="Calibri"/>
          <w:sz w:val="24"/>
          <w:szCs w:val="24"/>
        </w:rPr>
        <w:t xml:space="preserve"> is</w:t>
      </w:r>
      <w:r w:rsidRPr="005918BA">
        <w:rPr>
          <w:rFonts w:eastAsia="Calibri"/>
          <w:sz w:val="24"/>
          <w:szCs w:val="24"/>
        </w:rPr>
        <w:t xml:space="preserve"> jobban csök</w:t>
      </w:r>
      <w:r w:rsidR="00C353C7" w:rsidRPr="005918BA">
        <w:rPr>
          <w:rFonts w:eastAsia="Calibri"/>
          <w:sz w:val="24"/>
          <w:szCs w:val="24"/>
        </w:rPr>
        <w:t xml:space="preserve">kent a nettó bruttó bér arány, aminek </w:t>
      </w:r>
      <w:r w:rsidR="0054336B" w:rsidRPr="005918BA">
        <w:rPr>
          <w:rFonts w:eastAsia="Calibri"/>
          <w:sz w:val="24"/>
          <w:szCs w:val="24"/>
        </w:rPr>
        <w:t>előidézője</w:t>
      </w:r>
      <w:r w:rsidRPr="005918BA">
        <w:rPr>
          <w:rFonts w:eastAsia="Calibri"/>
          <w:b/>
          <w:sz w:val="24"/>
          <w:szCs w:val="24"/>
        </w:rPr>
        <w:t xml:space="preserve"> az alacsony béreket nemzetközi összevetésben is kimagasló mért</w:t>
      </w:r>
      <w:r w:rsidR="00C353C7" w:rsidRPr="005918BA">
        <w:rPr>
          <w:rFonts w:eastAsia="Calibri"/>
          <w:b/>
          <w:sz w:val="24"/>
          <w:szCs w:val="24"/>
        </w:rPr>
        <w:t>ékben sújtó adó-és járulékteher</w:t>
      </w:r>
      <w:r w:rsidRPr="005918BA">
        <w:rPr>
          <w:rFonts w:eastAsia="Calibri"/>
          <w:b/>
          <w:sz w:val="24"/>
          <w:szCs w:val="24"/>
        </w:rPr>
        <w:t>.</w:t>
      </w:r>
    </w:p>
    <w:p w:rsidR="00404793" w:rsidRPr="005918BA" w:rsidRDefault="00404793" w:rsidP="00404793">
      <w:pPr>
        <w:pStyle w:val="Listaszerbekezds"/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</w:rPr>
      </w:pPr>
      <w:r w:rsidRPr="005918BA">
        <w:rPr>
          <w:rFonts w:eastAsia="Calibri"/>
          <w:b/>
          <w:sz w:val="24"/>
          <w:szCs w:val="24"/>
        </w:rPr>
        <w:t xml:space="preserve">Egy sor termelő </w:t>
      </w:r>
      <w:r w:rsidR="00C353C7" w:rsidRPr="005918BA">
        <w:rPr>
          <w:rFonts w:eastAsia="Calibri"/>
          <w:b/>
          <w:sz w:val="24"/>
          <w:szCs w:val="24"/>
        </w:rPr>
        <w:t>és szolgá</w:t>
      </w:r>
      <w:r w:rsidR="0054336B" w:rsidRPr="005918BA">
        <w:rPr>
          <w:rFonts w:eastAsia="Calibri"/>
          <w:b/>
          <w:sz w:val="24"/>
          <w:szCs w:val="24"/>
        </w:rPr>
        <w:t>ltató</w:t>
      </w:r>
      <w:r w:rsidR="00C353C7" w:rsidRPr="005918BA">
        <w:rPr>
          <w:rFonts w:eastAsia="Calibri"/>
          <w:b/>
          <w:sz w:val="24"/>
          <w:szCs w:val="24"/>
        </w:rPr>
        <w:t xml:space="preserve"> ágazatban dominál </w:t>
      </w:r>
      <w:r w:rsidR="001A0670" w:rsidRPr="005918BA">
        <w:rPr>
          <w:rFonts w:eastAsia="Calibri"/>
          <w:b/>
          <w:sz w:val="24"/>
          <w:szCs w:val="24"/>
        </w:rPr>
        <w:t>a</w:t>
      </w:r>
      <w:r w:rsidR="00C353C7" w:rsidRPr="005918BA">
        <w:rPr>
          <w:rFonts w:eastAsia="Calibri"/>
          <w:b/>
          <w:sz w:val="24"/>
          <w:szCs w:val="24"/>
        </w:rPr>
        <w:t xml:space="preserve"> minimálbéren, vagy </w:t>
      </w:r>
      <w:r w:rsidR="001A0670" w:rsidRPr="005918BA">
        <w:rPr>
          <w:rFonts w:eastAsia="Calibri"/>
          <w:b/>
          <w:sz w:val="24"/>
          <w:szCs w:val="24"/>
        </w:rPr>
        <w:t>a minimálbért  csak ali</w:t>
      </w:r>
      <w:r w:rsidR="00C353C7" w:rsidRPr="005918BA">
        <w:rPr>
          <w:rFonts w:eastAsia="Calibri"/>
          <w:b/>
          <w:sz w:val="24"/>
          <w:szCs w:val="24"/>
        </w:rPr>
        <w:t>g meghaladó mértékű béren történő foglalkoztatás</w:t>
      </w:r>
      <w:r w:rsidR="001A0670" w:rsidRPr="005918BA">
        <w:rPr>
          <w:rFonts w:eastAsia="Calibri"/>
          <w:sz w:val="24"/>
          <w:szCs w:val="24"/>
        </w:rPr>
        <w:t>. Ilyen ágazatok a mező-és erdőgazdálkodás, az élelmiszeripar, a textilruházati ipar, a fa-és bútoripar, az építőipar,  a kiskereskedelem, a turizmus-vendéglátás</w:t>
      </w:r>
      <w:r w:rsidR="00B24182" w:rsidRPr="005918BA">
        <w:rPr>
          <w:rFonts w:eastAsia="Calibri"/>
          <w:sz w:val="24"/>
          <w:szCs w:val="24"/>
        </w:rPr>
        <w:t>, a szociális ellátás</w:t>
      </w:r>
      <w:r w:rsidR="001A0670" w:rsidRPr="005918BA">
        <w:rPr>
          <w:rFonts w:eastAsia="Calibri"/>
          <w:sz w:val="24"/>
          <w:szCs w:val="24"/>
        </w:rPr>
        <w:t xml:space="preserve">. </w:t>
      </w:r>
      <w:r w:rsidRPr="005918BA">
        <w:rPr>
          <w:rFonts w:eastAsia="Calibri"/>
          <w:sz w:val="24"/>
          <w:szCs w:val="24"/>
        </w:rPr>
        <w:t xml:space="preserve"> </w:t>
      </w:r>
      <w:r w:rsidR="00DD31E0" w:rsidRPr="005918BA">
        <w:rPr>
          <w:rFonts w:eastAsia="Calibri"/>
          <w:sz w:val="24"/>
          <w:szCs w:val="24"/>
        </w:rPr>
        <w:t>A versenyszférában ö</w:t>
      </w:r>
      <w:r w:rsidRPr="005918BA">
        <w:rPr>
          <w:rFonts w:eastAsia="Calibri"/>
          <w:sz w:val="24"/>
          <w:szCs w:val="24"/>
        </w:rPr>
        <w:t xml:space="preserve">sszesen hozzávetőlegesen </w:t>
      </w:r>
      <w:r w:rsidRPr="005918BA">
        <w:rPr>
          <w:rFonts w:eastAsia="Calibri"/>
          <w:b/>
          <w:sz w:val="24"/>
          <w:szCs w:val="24"/>
        </w:rPr>
        <w:t>1 millió</w:t>
      </w:r>
      <w:r w:rsidRPr="005918BA">
        <w:rPr>
          <w:rFonts w:eastAsia="Calibri"/>
          <w:sz w:val="24"/>
          <w:szCs w:val="24"/>
        </w:rPr>
        <w:t xml:space="preserve"> munkavállaló alapbére található a minimálbéren, a szakmai bérminimumon, vagy ezek közelében, ami</w:t>
      </w:r>
      <w:r w:rsidRPr="005918BA">
        <w:rPr>
          <w:rFonts w:eastAsia="Calibri"/>
          <w:b/>
          <w:sz w:val="24"/>
          <w:szCs w:val="24"/>
        </w:rPr>
        <w:t xml:space="preserve"> </w:t>
      </w:r>
      <w:r w:rsidRPr="005918BA">
        <w:rPr>
          <w:rFonts w:eastAsia="Calibri"/>
          <w:sz w:val="24"/>
          <w:szCs w:val="24"/>
        </w:rPr>
        <w:t>nem sokkal kevesebb, mint</w:t>
      </w:r>
      <w:r w:rsidRPr="005918BA">
        <w:rPr>
          <w:rFonts w:eastAsia="Calibri"/>
          <w:b/>
          <w:sz w:val="24"/>
          <w:szCs w:val="24"/>
        </w:rPr>
        <w:t xml:space="preserve"> az összes foglalkoztatott fele. </w:t>
      </w:r>
    </w:p>
    <w:p w:rsidR="00404793" w:rsidRPr="005918BA" w:rsidRDefault="00404793" w:rsidP="00404793">
      <w:pPr>
        <w:pStyle w:val="Listaszerbekezds"/>
        <w:numPr>
          <w:ilvl w:val="0"/>
          <w:numId w:val="1"/>
        </w:numPr>
        <w:spacing w:line="276" w:lineRule="auto"/>
        <w:rPr>
          <w:rFonts w:eastAsia="Calibri"/>
          <w:sz w:val="24"/>
          <w:szCs w:val="24"/>
        </w:rPr>
      </w:pPr>
      <w:r w:rsidRPr="005918BA">
        <w:rPr>
          <w:rFonts w:eastAsia="Calibri"/>
          <w:b/>
          <w:sz w:val="24"/>
          <w:szCs w:val="24"/>
        </w:rPr>
        <w:t>A minimálbéren, vagy annak közelében foglalkoztatott keresők háztartásainak fogyasztása erősen lefelé húzza a</w:t>
      </w:r>
      <w:r w:rsidR="00DD31E0" w:rsidRPr="005918BA">
        <w:rPr>
          <w:rFonts w:eastAsia="Calibri"/>
          <w:b/>
          <w:sz w:val="24"/>
          <w:szCs w:val="24"/>
        </w:rPr>
        <w:t>z átlagos</w:t>
      </w:r>
      <w:r w:rsidRPr="005918BA">
        <w:rPr>
          <w:rFonts w:eastAsia="Calibri"/>
          <w:b/>
          <w:sz w:val="24"/>
          <w:szCs w:val="24"/>
        </w:rPr>
        <w:t xml:space="preserve"> magyar háztartás fogyasztási adatokat. </w:t>
      </w:r>
      <w:r w:rsidRPr="005918BA">
        <w:rPr>
          <w:sz w:val="24"/>
          <w:szCs w:val="24"/>
        </w:rPr>
        <w:t>A háztartások fogyasztásának aránya a bruttó hazai termékben Magyarországon az egyik legalacsonyabb Európában, 50%-nyi, szemben az átlagos 57%-kal, a lengyelországi  60%-kal, vagy a szlovákiak 57%-kal.</w:t>
      </w:r>
    </w:p>
    <w:p w:rsidR="00404793" w:rsidRPr="005918BA" w:rsidRDefault="00404793" w:rsidP="00404793">
      <w:pPr>
        <w:spacing w:line="276" w:lineRule="auto"/>
        <w:ind w:left="360"/>
        <w:rPr>
          <w:rFonts w:eastAsia="Calibri"/>
          <w:b/>
          <w:sz w:val="24"/>
          <w:szCs w:val="24"/>
        </w:rPr>
      </w:pPr>
      <w:r w:rsidRPr="005918BA">
        <w:rPr>
          <w:rFonts w:eastAsia="Calibri"/>
          <w:b/>
          <w:sz w:val="24"/>
          <w:szCs w:val="24"/>
        </w:rPr>
        <w:t xml:space="preserve">A </w:t>
      </w:r>
      <w:r w:rsidR="00DD31E0" w:rsidRPr="005918BA">
        <w:rPr>
          <w:rFonts w:eastAsia="Calibri"/>
          <w:b/>
          <w:sz w:val="24"/>
          <w:szCs w:val="24"/>
        </w:rPr>
        <w:t xml:space="preserve">nemzetközi összevetésben </w:t>
      </w:r>
      <w:r w:rsidRPr="005918BA">
        <w:rPr>
          <w:rFonts w:eastAsia="Calibri"/>
          <w:b/>
          <w:sz w:val="24"/>
          <w:szCs w:val="24"/>
          <w:u w:val="single"/>
        </w:rPr>
        <w:t>növekvő bér hátrányt</w:t>
      </w:r>
      <w:r w:rsidRPr="005918BA">
        <w:rPr>
          <w:rFonts w:eastAsia="Calibri"/>
          <w:b/>
          <w:sz w:val="24"/>
          <w:szCs w:val="24"/>
        </w:rPr>
        <w:t xml:space="preserve"> szintén meggyőző adatok bizonyítják</w:t>
      </w:r>
      <w:r w:rsidR="00DD31E0" w:rsidRPr="005918BA">
        <w:rPr>
          <w:rFonts w:eastAsia="Calibri"/>
          <w:b/>
          <w:sz w:val="24"/>
          <w:szCs w:val="24"/>
        </w:rPr>
        <w:t>:</w:t>
      </w:r>
    </w:p>
    <w:p w:rsidR="00404793" w:rsidRPr="005918BA" w:rsidRDefault="00DD31E0" w:rsidP="00404793">
      <w:pPr>
        <w:pStyle w:val="Listaszerbekezds"/>
        <w:numPr>
          <w:ilvl w:val="0"/>
          <w:numId w:val="2"/>
        </w:numPr>
        <w:spacing w:line="276" w:lineRule="auto"/>
        <w:rPr>
          <w:rFonts w:eastAsia="Calibri"/>
          <w:sz w:val="24"/>
          <w:szCs w:val="24"/>
        </w:rPr>
      </w:pPr>
      <w:r w:rsidRPr="005918BA">
        <w:rPr>
          <w:rFonts w:eastAsia="Calibri"/>
          <w:b/>
          <w:sz w:val="24"/>
          <w:szCs w:val="24"/>
        </w:rPr>
        <w:t>Miközben a</w:t>
      </w:r>
      <w:r w:rsidR="00984BF5" w:rsidRPr="005918BA">
        <w:rPr>
          <w:rFonts w:eastAsia="Calibri"/>
          <w:b/>
          <w:sz w:val="24"/>
          <w:szCs w:val="24"/>
        </w:rPr>
        <w:t xml:space="preserve">z EUR-ban kifejezett </w:t>
      </w:r>
      <w:r w:rsidRPr="005918BA">
        <w:rPr>
          <w:rFonts w:eastAsia="Calibri"/>
          <w:b/>
          <w:sz w:val="24"/>
          <w:szCs w:val="24"/>
        </w:rPr>
        <w:t xml:space="preserve"> magyar </w:t>
      </w:r>
      <w:r w:rsidR="00984BF5" w:rsidRPr="005918BA">
        <w:rPr>
          <w:rFonts w:eastAsia="Calibri"/>
          <w:b/>
          <w:sz w:val="24"/>
          <w:szCs w:val="24"/>
        </w:rPr>
        <w:t>átlagórabér</w:t>
      </w:r>
      <w:r w:rsidR="00B24182" w:rsidRPr="005918BA">
        <w:rPr>
          <w:rFonts w:eastAsia="Calibri"/>
          <w:b/>
          <w:sz w:val="24"/>
          <w:szCs w:val="24"/>
        </w:rPr>
        <w:t xml:space="preserve"> mára a  </w:t>
      </w:r>
      <w:r w:rsidR="00984BF5" w:rsidRPr="005918BA">
        <w:rPr>
          <w:rFonts w:eastAsia="Calibri"/>
          <w:b/>
          <w:sz w:val="24"/>
          <w:szCs w:val="24"/>
        </w:rPr>
        <w:t xml:space="preserve">legutolsó </w:t>
      </w:r>
      <w:r w:rsidR="00B24182" w:rsidRPr="005918BA">
        <w:rPr>
          <w:rFonts w:eastAsia="Calibri"/>
          <w:b/>
          <w:sz w:val="24"/>
          <w:szCs w:val="24"/>
        </w:rPr>
        <w:t xml:space="preserve">helyen áll </w:t>
      </w:r>
      <w:r w:rsidR="00984BF5" w:rsidRPr="005918BA">
        <w:rPr>
          <w:rFonts w:eastAsia="Calibri"/>
          <w:b/>
          <w:sz w:val="24"/>
          <w:szCs w:val="24"/>
        </w:rPr>
        <w:t xml:space="preserve">a V4 országok között, </w:t>
      </w:r>
      <w:r w:rsidR="00B24182" w:rsidRPr="005918BA">
        <w:rPr>
          <w:rFonts w:eastAsia="Calibri"/>
          <w:sz w:val="24"/>
          <w:szCs w:val="24"/>
        </w:rPr>
        <w:t xml:space="preserve">aközben </w:t>
      </w:r>
      <w:r w:rsidR="00984BF5" w:rsidRPr="005918BA">
        <w:rPr>
          <w:rFonts w:eastAsia="Calibri"/>
          <w:sz w:val="24"/>
          <w:szCs w:val="24"/>
        </w:rPr>
        <w:t xml:space="preserve">2014-ben Csehországban és Szlovákiában 8% feletti, Lengyelországban 4% feletti, Magyarországon 3,6%-os volt a minimálbér emelés. </w:t>
      </w:r>
    </w:p>
    <w:p w:rsidR="00404793" w:rsidRPr="005918BA" w:rsidRDefault="00404793" w:rsidP="00404793">
      <w:pPr>
        <w:pStyle w:val="Listaszerbekezds"/>
        <w:numPr>
          <w:ilvl w:val="0"/>
          <w:numId w:val="1"/>
        </w:numPr>
        <w:spacing w:line="276" w:lineRule="auto"/>
        <w:rPr>
          <w:rFonts w:eastAsia="Calibri"/>
          <w:sz w:val="24"/>
          <w:szCs w:val="24"/>
        </w:rPr>
      </w:pPr>
      <w:r w:rsidRPr="005918BA">
        <w:rPr>
          <w:b/>
          <w:sz w:val="24"/>
          <w:szCs w:val="24"/>
        </w:rPr>
        <w:t xml:space="preserve">Az osztrák háztartások átlagos fogyasztása </w:t>
      </w:r>
      <w:r w:rsidRPr="005918BA">
        <w:rPr>
          <w:sz w:val="24"/>
          <w:szCs w:val="24"/>
        </w:rPr>
        <w:t xml:space="preserve">2004-ben 3,5-szeresét tette ki a magyarénak, 2014.ben már csaknem négyszeresét. A román háztartás fogyasztási adat 2004-ben felét sem érte el a magyarnak, 2014-ben meghaladja a 90%-át.  </w:t>
      </w:r>
    </w:p>
    <w:p w:rsidR="00984BF5" w:rsidRPr="005918BA" w:rsidRDefault="00984BF5" w:rsidP="00984BF5">
      <w:pPr>
        <w:spacing w:line="276" w:lineRule="auto"/>
        <w:ind w:left="360"/>
        <w:rPr>
          <w:rFonts w:eastAsia="Calibri"/>
          <w:b/>
          <w:sz w:val="24"/>
          <w:szCs w:val="24"/>
        </w:rPr>
      </w:pPr>
      <w:r w:rsidRPr="005918BA">
        <w:rPr>
          <w:rFonts w:eastAsia="Calibri"/>
          <w:b/>
          <w:sz w:val="24"/>
          <w:szCs w:val="24"/>
        </w:rPr>
        <w:t>MI a helyzet a béremelést finanszírozó forrásokkal?</w:t>
      </w:r>
    </w:p>
    <w:p w:rsidR="003D295D" w:rsidRPr="005918BA" w:rsidRDefault="00C353C7" w:rsidP="003D295D">
      <w:pPr>
        <w:pStyle w:val="Listaszerbekezds"/>
        <w:numPr>
          <w:ilvl w:val="0"/>
          <w:numId w:val="1"/>
        </w:num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5918BA">
        <w:rPr>
          <w:rFonts w:cs="Arial"/>
          <w:color w:val="222222"/>
          <w:sz w:val="24"/>
          <w:szCs w:val="24"/>
          <w:shd w:val="clear" w:color="auto" w:fill="FFFFFF"/>
        </w:rPr>
        <w:t>A</w:t>
      </w:r>
      <w:r w:rsidR="003D295D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z un. </w:t>
      </w:r>
      <w:r w:rsidR="00984BF5" w:rsidRPr="005918BA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bértermelékenységi mutató</w:t>
      </w:r>
      <w:r w:rsidR="003D295D" w:rsidRPr="005918BA">
        <w:rPr>
          <w:rFonts w:cs="Arial"/>
          <w:color w:val="222222"/>
          <w:sz w:val="24"/>
          <w:szCs w:val="24"/>
          <w:shd w:val="clear" w:color="auto" w:fill="FFFFFF"/>
        </w:rPr>
        <w:t>, amely</w:t>
      </w:r>
      <w:r w:rsidR="00E9548E" w:rsidRPr="005918BA">
        <w:rPr>
          <w:rFonts w:cs="Arial"/>
          <w:color w:val="222222"/>
          <w:sz w:val="24"/>
          <w:szCs w:val="24"/>
          <w:shd w:val="clear" w:color="auto" w:fill="FFFFFF"/>
        </w:rPr>
        <w:t>et</w:t>
      </w:r>
      <w:r w:rsidR="003D295D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3D295D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az egységnyi bérköltségre  jutó hozzáadott érték</w:t>
      </w:r>
      <w:r w:rsidR="00984BF5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kel </w:t>
      </w:r>
      <w:r w:rsidR="003D295D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E9548E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számítanak ki, </w:t>
      </w:r>
      <w:r w:rsidR="00E9548E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84BF5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3D295D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Magyarországon </w:t>
      </w:r>
      <w:r w:rsidR="005340FC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egy sor </w:t>
      </w:r>
      <w:r w:rsidR="00D64DED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stratégiai</w:t>
      </w:r>
      <w:r w:rsidR="005340FC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ágazatban jóval magasabb, mint </w:t>
      </w:r>
      <w:r w:rsidR="00523788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pl. </w:t>
      </w:r>
      <w:r w:rsidR="005340FC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Ausztriában, így a feldolgozó iparban 50%-kal, az info-kommunikációs szektorban 30%-kal</w:t>
      </w:r>
      <w:r w:rsidR="00984BF5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,</w:t>
      </w:r>
      <w:r w:rsidR="005340FC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EB4B76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az építőiparban 17%-kal</w:t>
      </w:r>
      <w:r w:rsidR="00D64DED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. </w:t>
      </w:r>
      <w:r w:rsidR="00D64DED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A </w:t>
      </w:r>
      <w:r w:rsidR="009931A0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nemzetközi összevetésben </w:t>
      </w:r>
      <w:r w:rsidR="00D64DED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magas bértermelékenység </w:t>
      </w:r>
      <w:r w:rsidR="00C95379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azért problémás, mert  </w:t>
      </w:r>
      <w:r w:rsidR="00D64DED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döntően</w:t>
      </w:r>
      <w:r w:rsidR="00EB4B76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az alacsony bérszint </w:t>
      </w:r>
      <w:r w:rsidR="00D64DED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következménye</w:t>
      </w:r>
      <w:r w:rsidR="00EB4B76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.</w:t>
      </w:r>
    </w:p>
    <w:p w:rsidR="00E00277" w:rsidRPr="005918BA" w:rsidRDefault="00E00277" w:rsidP="00E00277">
      <w:pPr>
        <w:pStyle w:val="Listaszerbekezds"/>
        <w:numPr>
          <w:ilvl w:val="0"/>
          <w:numId w:val="1"/>
        </w:numPr>
        <w:rPr>
          <w:b/>
          <w:noProof/>
          <w:sz w:val="24"/>
          <w:szCs w:val="24"/>
          <w:lang w:eastAsia="hu-HU"/>
        </w:rPr>
      </w:pPr>
      <w:r w:rsidRPr="005918BA">
        <w:rPr>
          <w:noProof/>
          <w:sz w:val="24"/>
          <w:szCs w:val="24"/>
          <w:lang w:eastAsia="hu-HU"/>
        </w:rPr>
        <w:t xml:space="preserve">Az a tény pedig, hogy </w:t>
      </w:r>
      <w:r w:rsidR="00E01BB9" w:rsidRPr="005918BA">
        <w:rPr>
          <w:noProof/>
          <w:sz w:val="24"/>
          <w:szCs w:val="24"/>
          <w:lang w:eastAsia="hu-HU"/>
        </w:rPr>
        <w:t xml:space="preserve"> </w:t>
      </w:r>
      <w:r w:rsidRPr="005918BA">
        <w:rPr>
          <w:b/>
          <w:noProof/>
          <w:sz w:val="24"/>
          <w:szCs w:val="24"/>
          <w:lang w:eastAsia="hu-HU"/>
        </w:rPr>
        <w:t>az átlagos árbevétel arányos jövedelmezőség</w:t>
      </w:r>
      <w:r w:rsidR="00C95379" w:rsidRPr="005918BA">
        <w:rPr>
          <w:b/>
          <w:noProof/>
          <w:sz w:val="24"/>
          <w:szCs w:val="24"/>
          <w:lang w:eastAsia="hu-HU"/>
        </w:rPr>
        <w:t xml:space="preserve"> </w:t>
      </w:r>
      <w:r w:rsidR="00C95379" w:rsidRPr="005918BA">
        <w:rPr>
          <w:noProof/>
          <w:sz w:val="24"/>
          <w:szCs w:val="24"/>
          <w:lang w:eastAsia="hu-HU"/>
        </w:rPr>
        <w:t>(a bérköltséggel csökkentett hozzáadott érték</w:t>
      </w:r>
      <w:r w:rsidR="00E9548E" w:rsidRPr="005918BA">
        <w:rPr>
          <w:noProof/>
          <w:sz w:val="24"/>
          <w:szCs w:val="24"/>
          <w:lang w:eastAsia="hu-HU"/>
        </w:rPr>
        <w:t xml:space="preserve"> a</w:t>
      </w:r>
      <w:r w:rsidR="0054336B" w:rsidRPr="005918BA">
        <w:rPr>
          <w:noProof/>
          <w:sz w:val="24"/>
          <w:szCs w:val="24"/>
          <w:lang w:eastAsia="hu-HU"/>
        </w:rPr>
        <w:t>r</w:t>
      </w:r>
      <w:r w:rsidR="00E9548E" w:rsidRPr="005918BA">
        <w:rPr>
          <w:noProof/>
          <w:sz w:val="24"/>
          <w:szCs w:val="24"/>
          <w:lang w:eastAsia="hu-HU"/>
        </w:rPr>
        <w:t>ánya az árbevételben</w:t>
      </w:r>
      <w:r w:rsidR="00C95379" w:rsidRPr="005918BA">
        <w:rPr>
          <w:noProof/>
          <w:sz w:val="24"/>
          <w:szCs w:val="24"/>
          <w:lang w:eastAsia="hu-HU"/>
        </w:rPr>
        <w:t xml:space="preserve">) </w:t>
      </w:r>
      <w:r w:rsidRPr="005918BA">
        <w:rPr>
          <w:b/>
          <w:noProof/>
          <w:sz w:val="24"/>
          <w:szCs w:val="24"/>
          <w:lang w:eastAsia="hu-HU"/>
        </w:rPr>
        <w:t xml:space="preserve"> </w:t>
      </w:r>
      <w:r w:rsidR="00984BF5" w:rsidRPr="005918BA">
        <w:rPr>
          <w:noProof/>
          <w:sz w:val="24"/>
          <w:szCs w:val="24"/>
          <w:lang w:eastAsia="hu-HU"/>
        </w:rPr>
        <w:t xml:space="preserve">a  német feldolgozó iparban </w:t>
      </w:r>
      <w:r w:rsidRPr="005918BA">
        <w:rPr>
          <w:b/>
          <w:noProof/>
          <w:sz w:val="24"/>
          <w:szCs w:val="24"/>
          <w:lang w:eastAsia="hu-HU"/>
        </w:rPr>
        <w:lastRenderedPageBreak/>
        <w:t>7,5%</w:t>
      </w:r>
      <w:r w:rsidR="00984BF5" w:rsidRPr="005918BA">
        <w:rPr>
          <w:b/>
          <w:noProof/>
          <w:sz w:val="24"/>
          <w:szCs w:val="24"/>
          <w:lang w:eastAsia="hu-HU"/>
        </w:rPr>
        <w:t>-on áll</w:t>
      </w:r>
      <w:r w:rsidRPr="005918BA">
        <w:rPr>
          <w:b/>
          <w:noProof/>
          <w:sz w:val="24"/>
          <w:szCs w:val="24"/>
          <w:lang w:eastAsia="hu-HU"/>
        </w:rPr>
        <w:t>,</w:t>
      </w:r>
      <w:r w:rsidRPr="005918BA">
        <w:rPr>
          <w:noProof/>
          <w:sz w:val="24"/>
          <w:szCs w:val="24"/>
          <w:lang w:eastAsia="hu-HU"/>
        </w:rPr>
        <w:t xml:space="preserve"> </w:t>
      </w:r>
      <w:r w:rsidR="00E01BB9" w:rsidRPr="005918BA">
        <w:rPr>
          <w:b/>
          <w:noProof/>
          <w:sz w:val="24"/>
          <w:szCs w:val="24"/>
          <w:lang w:eastAsia="hu-HU"/>
        </w:rPr>
        <w:t xml:space="preserve">míg </w:t>
      </w:r>
      <w:r w:rsidRPr="005918BA">
        <w:rPr>
          <w:b/>
          <w:noProof/>
          <w:sz w:val="24"/>
          <w:szCs w:val="24"/>
          <w:lang w:eastAsia="hu-HU"/>
        </w:rPr>
        <w:t xml:space="preserve"> a magyarban </w:t>
      </w:r>
      <w:r w:rsidR="00984BF5" w:rsidRPr="005918BA">
        <w:rPr>
          <w:b/>
          <w:noProof/>
          <w:sz w:val="24"/>
          <w:szCs w:val="24"/>
          <w:lang w:eastAsia="hu-HU"/>
        </w:rPr>
        <w:t xml:space="preserve"> </w:t>
      </w:r>
      <w:r w:rsidRPr="005918BA">
        <w:rPr>
          <w:b/>
          <w:noProof/>
          <w:sz w:val="24"/>
          <w:szCs w:val="24"/>
          <w:lang w:eastAsia="hu-HU"/>
        </w:rPr>
        <w:t xml:space="preserve"> 11%</w:t>
      </w:r>
      <w:r w:rsidR="00984BF5" w:rsidRPr="005918BA">
        <w:rPr>
          <w:b/>
          <w:noProof/>
          <w:sz w:val="24"/>
          <w:szCs w:val="24"/>
          <w:lang w:eastAsia="hu-HU"/>
        </w:rPr>
        <w:t>-on</w:t>
      </w:r>
      <w:r w:rsidRPr="005918BA">
        <w:rPr>
          <w:b/>
          <w:noProof/>
          <w:sz w:val="24"/>
          <w:szCs w:val="24"/>
          <w:lang w:eastAsia="hu-HU"/>
        </w:rPr>
        <w:t xml:space="preserve">, </w:t>
      </w:r>
      <w:r w:rsidR="00984BF5" w:rsidRPr="005918BA">
        <w:rPr>
          <w:b/>
          <w:noProof/>
          <w:sz w:val="24"/>
          <w:szCs w:val="24"/>
          <w:lang w:eastAsia="hu-HU"/>
        </w:rPr>
        <w:t xml:space="preserve"> </w:t>
      </w:r>
      <w:r w:rsidRPr="005918BA">
        <w:rPr>
          <w:noProof/>
          <w:sz w:val="24"/>
          <w:szCs w:val="24"/>
          <w:lang w:eastAsia="hu-HU"/>
        </w:rPr>
        <w:t xml:space="preserve"> azt igazolja, hogy az alacsony bérek</w:t>
      </w:r>
      <w:r w:rsidR="00E01BB9" w:rsidRPr="005918BA">
        <w:rPr>
          <w:noProof/>
          <w:sz w:val="24"/>
          <w:szCs w:val="24"/>
          <w:lang w:eastAsia="hu-HU"/>
        </w:rPr>
        <w:t>et</w:t>
      </w:r>
      <w:r w:rsidRPr="005918BA">
        <w:rPr>
          <w:noProof/>
          <w:sz w:val="24"/>
          <w:szCs w:val="24"/>
          <w:lang w:eastAsia="hu-HU"/>
        </w:rPr>
        <w:t xml:space="preserve">   </w:t>
      </w:r>
      <w:r w:rsidRPr="005918BA">
        <w:rPr>
          <w:b/>
          <w:noProof/>
          <w:sz w:val="24"/>
          <w:szCs w:val="24"/>
          <w:lang w:eastAsia="hu-HU"/>
        </w:rPr>
        <w:t xml:space="preserve">nem az </w:t>
      </w:r>
      <w:r w:rsidR="00C95379" w:rsidRPr="005918BA">
        <w:rPr>
          <w:b/>
          <w:noProof/>
          <w:sz w:val="24"/>
          <w:szCs w:val="24"/>
          <w:lang w:eastAsia="hu-HU"/>
        </w:rPr>
        <w:t>export</w:t>
      </w:r>
      <w:r w:rsidR="00984BF5" w:rsidRPr="005918BA">
        <w:rPr>
          <w:b/>
          <w:noProof/>
          <w:sz w:val="24"/>
          <w:szCs w:val="24"/>
          <w:lang w:eastAsia="hu-HU"/>
        </w:rPr>
        <w:t xml:space="preserve">, illetve a piaci  </w:t>
      </w:r>
      <w:r w:rsidRPr="005918BA">
        <w:rPr>
          <w:b/>
          <w:noProof/>
          <w:sz w:val="24"/>
          <w:szCs w:val="24"/>
          <w:lang w:eastAsia="hu-HU"/>
        </w:rPr>
        <w:t>versenyképesség</w:t>
      </w:r>
      <w:r w:rsidR="00E01BB9" w:rsidRPr="005918BA">
        <w:rPr>
          <w:b/>
          <w:noProof/>
          <w:sz w:val="24"/>
          <w:szCs w:val="24"/>
          <w:lang w:eastAsia="hu-HU"/>
        </w:rPr>
        <w:t xml:space="preserve"> erősítése kényszeríti ki</w:t>
      </w:r>
      <w:r w:rsidR="009931A0" w:rsidRPr="005918BA">
        <w:rPr>
          <w:b/>
          <w:noProof/>
          <w:sz w:val="24"/>
          <w:szCs w:val="24"/>
          <w:lang w:eastAsia="hu-HU"/>
        </w:rPr>
        <w:t>. Ellenkezőleg, a</w:t>
      </w:r>
      <w:r w:rsidR="00E01BB9" w:rsidRPr="005918BA">
        <w:rPr>
          <w:b/>
          <w:noProof/>
          <w:sz w:val="24"/>
          <w:szCs w:val="24"/>
          <w:lang w:eastAsia="hu-HU"/>
        </w:rPr>
        <w:t xml:space="preserve">z </w:t>
      </w:r>
      <w:r w:rsidR="00984BF5" w:rsidRPr="005918BA">
        <w:rPr>
          <w:b/>
          <w:noProof/>
          <w:sz w:val="24"/>
          <w:szCs w:val="24"/>
          <w:lang w:eastAsia="hu-HU"/>
        </w:rPr>
        <w:t xml:space="preserve">alacsony bér szint egy sor ágazatban </w:t>
      </w:r>
      <w:r w:rsidR="00E01BB9" w:rsidRPr="005918BA">
        <w:rPr>
          <w:b/>
          <w:noProof/>
          <w:sz w:val="24"/>
          <w:szCs w:val="24"/>
          <w:lang w:eastAsia="hu-HU"/>
        </w:rPr>
        <w:t xml:space="preserve">egyszerűen </w:t>
      </w:r>
      <w:r w:rsidRPr="005918BA">
        <w:rPr>
          <w:noProof/>
          <w:sz w:val="24"/>
          <w:szCs w:val="24"/>
          <w:lang w:eastAsia="hu-HU"/>
        </w:rPr>
        <w:t xml:space="preserve"> </w:t>
      </w:r>
      <w:r w:rsidRPr="005918BA">
        <w:rPr>
          <w:b/>
          <w:noProof/>
          <w:sz w:val="24"/>
          <w:szCs w:val="24"/>
          <w:lang w:eastAsia="hu-HU"/>
        </w:rPr>
        <w:t>a munkáltató profitját</w:t>
      </w:r>
      <w:r w:rsidR="00E01BB9" w:rsidRPr="005918BA">
        <w:rPr>
          <w:b/>
          <w:noProof/>
          <w:sz w:val="24"/>
          <w:szCs w:val="24"/>
          <w:lang w:eastAsia="hu-HU"/>
        </w:rPr>
        <w:t xml:space="preserve"> növeli</w:t>
      </w:r>
      <w:r w:rsidRPr="005918BA">
        <w:rPr>
          <w:b/>
          <w:noProof/>
          <w:sz w:val="24"/>
          <w:szCs w:val="24"/>
          <w:lang w:eastAsia="hu-HU"/>
        </w:rPr>
        <w:t>.</w:t>
      </w:r>
      <w:r w:rsidRPr="005918BA">
        <w:rPr>
          <w:noProof/>
          <w:sz w:val="24"/>
          <w:szCs w:val="24"/>
          <w:lang w:eastAsia="hu-HU"/>
        </w:rPr>
        <w:t xml:space="preserve"> </w:t>
      </w:r>
      <w:r w:rsidR="00CE59DE" w:rsidRPr="005918BA">
        <w:rPr>
          <w:sz w:val="24"/>
          <w:szCs w:val="24"/>
        </w:rPr>
        <w:t>M</w:t>
      </w:r>
      <w:r w:rsidR="009931A0" w:rsidRPr="005918BA">
        <w:rPr>
          <w:sz w:val="24"/>
          <w:szCs w:val="24"/>
        </w:rPr>
        <w:t xml:space="preserve">iközben </w:t>
      </w:r>
      <w:r w:rsidR="00E9548E" w:rsidRPr="005918BA">
        <w:rPr>
          <w:sz w:val="24"/>
          <w:szCs w:val="24"/>
        </w:rPr>
        <w:t xml:space="preserve">idehaza </w:t>
      </w:r>
      <w:r w:rsidR="009931A0" w:rsidRPr="005918BA">
        <w:rPr>
          <w:sz w:val="24"/>
          <w:szCs w:val="24"/>
        </w:rPr>
        <w:t xml:space="preserve">az alacsony bérű dolgozók megélhetése </w:t>
      </w:r>
      <w:r w:rsidR="00CA24E2" w:rsidRPr="005918BA">
        <w:rPr>
          <w:sz w:val="24"/>
          <w:szCs w:val="24"/>
        </w:rPr>
        <w:t xml:space="preserve">2007-2015 között, tehát a gazdasági válság előtti utolsó évhez képest  </w:t>
      </w:r>
      <w:r w:rsidR="009931A0" w:rsidRPr="005918BA">
        <w:rPr>
          <w:sz w:val="24"/>
          <w:szCs w:val="24"/>
        </w:rPr>
        <w:t>alig javult</w:t>
      </w:r>
      <w:r w:rsidR="00CA24E2" w:rsidRPr="005918BA">
        <w:rPr>
          <w:sz w:val="24"/>
          <w:szCs w:val="24"/>
        </w:rPr>
        <w:t xml:space="preserve">, </w:t>
      </w:r>
      <w:r w:rsidR="009931A0" w:rsidRPr="005918BA">
        <w:rPr>
          <w:sz w:val="24"/>
          <w:szCs w:val="24"/>
        </w:rPr>
        <w:t>a tőketulajdonosok és vállalkozók részesedése a bruttó hazai termékből közel 500 milliárd forinttal emelkedett</w:t>
      </w:r>
      <w:r w:rsidR="00E9548E" w:rsidRPr="005918BA">
        <w:rPr>
          <w:sz w:val="24"/>
          <w:szCs w:val="24"/>
        </w:rPr>
        <w:t xml:space="preserve"> úgy</w:t>
      </w:r>
      <w:r w:rsidR="009931A0" w:rsidRPr="005918BA">
        <w:rPr>
          <w:sz w:val="24"/>
          <w:szCs w:val="24"/>
        </w:rPr>
        <w:t xml:space="preserve">, </w:t>
      </w:r>
      <w:r w:rsidR="00E9548E" w:rsidRPr="005918BA">
        <w:rPr>
          <w:sz w:val="24"/>
          <w:szCs w:val="24"/>
        </w:rPr>
        <w:t xml:space="preserve">hogy  </w:t>
      </w:r>
      <w:r w:rsidR="009931A0" w:rsidRPr="005918BA">
        <w:rPr>
          <w:sz w:val="24"/>
          <w:szCs w:val="24"/>
        </w:rPr>
        <w:t xml:space="preserve">közben </w:t>
      </w:r>
      <w:r w:rsidR="009931A0" w:rsidRPr="005918BA">
        <w:rPr>
          <w:b/>
          <w:sz w:val="24"/>
          <w:szCs w:val="24"/>
        </w:rPr>
        <w:t>e jövedelmek beruházási célú felhasználása csökkent.</w:t>
      </w:r>
    </w:p>
    <w:p w:rsidR="00B24182" w:rsidRPr="005918BA" w:rsidRDefault="00B24182" w:rsidP="00E00277">
      <w:pPr>
        <w:pStyle w:val="Listaszerbekezds"/>
        <w:numPr>
          <w:ilvl w:val="0"/>
          <w:numId w:val="1"/>
        </w:numPr>
        <w:rPr>
          <w:b/>
          <w:noProof/>
          <w:sz w:val="24"/>
          <w:szCs w:val="24"/>
          <w:lang w:eastAsia="hu-HU"/>
        </w:rPr>
      </w:pPr>
      <w:r w:rsidRPr="005918BA">
        <w:rPr>
          <w:b/>
          <w:noProof/>
          <w:sz w:val="24"/>
          <w:szCs w:val="24"/>
          <w:lang w:eastAsia="hu-HU"/>
        </w:rPr>
        <w:t>A bérfelzárkózási kényszert</w:t>
      </w:r>
      <w:r w:rsidRPr="005918BA">
        <w:rPr>
          <w:noProof/>
          <w:sz w:val="24"/>
          <w:szCs w:val="24"/>
          <w:lang w:eastAsia="hu-HU"/>
        </w:rPr>
        <w:t xml:space="preserve"> jelzi a növekvő mértékű munkaerőhiány, illetve a határon túli munkavállalás terjedése. </w:t>
      </w:r>
      <w:r w:rsidR="0087440D">
        <w:rPr>
          <w:noProof/>
          <w:sz w:val="24"/>
          <w:szCs w:val="24"/>
          <w:lang w:eastAsia="hu-HU"/>
        </w:rPr>
        <w:t xml:space="preserve">A statisztikai adatoke gyértelműen igazolják, hogy </w:t>
      </w:r>
      <w:r w:rsidR="0087440D" w:rsidRPr="00225C95">
        <w:rPr>
          <w:b/>
          <w:noProof/>
          <w:sz w:val="24"/>
          <w:szCs w:val="24"/>
          <w:lang w:eastAsia="hu-HU"/>
        </w:rPr>
        <w:t>egy sor ágazatban (feldolgozó ipar, telekom szektor, építőipar, szállítás-logisztika) a végek nagy többségének jövedelmezősége fedezetet teremt a dinamikusabb béremelésre</w:t>
      </w:r>
      <w:r w:rsidR="0087440D">
        <w:rPr>
          <w:noProof/>
          <w:sz w:val="24"/>
          <w:szCs w:val="24"/>
          <w:lang w:eastAsia="hu-HU"/>
        </w:rPr>
        <w:t xml:space="preserve">. </w:t>
      </w:r>
      <w:r w:rsidR="00183A69">
        <w:rPr>
          <w:noProof/>
          <w:sz w:val="24"/>
          <w:szCs w:val="24"/>
          <w:lang w:eastAsia="hu-HU"/>
        </w:rPr>
        <w:t xml:space="preserve">A gyorsabb béremelkedés  </w:t>
      </w:r>
      <w:r w:rsidRPr="005918BA">
        <w:rPr>
          <w:noProof/>
          <w:sz w:val="24"/>
          <w:szCs w:val="24"/>
          <w:lang w:eastAsia="hu-HU"/>
        </w:rPr>
        <w:t xml:space="preserve"> a munkaerő intenzív, elsősorban szolgáltatási ágazatokban </w:t>
      </w:r>
      <w:r w:rsidR="00E9548E" w:rsidRPr="005918BA">
        <w:rPr>
          <w:noProof/>
          <w:sz w:val="24"/>
          <w:szCs w:val="24"/>
          <w:lang w:eastAsia="hu-HU"/>
        </w:rPr>
        <w:t>és az alacsony termelékenységű, alacsony hozzáadott értéket előállító KKV szektorban  ütközhet</w:t>
      </w:r>
      <w:r w:rsidR="00183A69">
        <w:rPr>
          <w:noProof/>
          <w:sz w:val="24"/>
          <w:szCs w:val="24"/>
          <w:lang w:eastAsia="hu-HU"/>
        </w:rPr>
        <w:t xml:space="preserve"> nehézségekbe</w:t>
      </w:r>
      <w:r w:rsidR="00E9548E" w:rsidRPr="005918BA">
        <w:rPr>
          <w:noProof/>
          <w:sz w:val="24"/>
          <w:szCs w:val="24"/>
          <w:lang w:eastAsia="hu-HU"/>
        </w:rPr>
        <w:t>. A munkaerőhiányos helyzetben azonban a kevésbé hatékony munkáltatók kiszelektálódása a munkaerőpiacról nem okoz súlyos társadalmi-szociális feszültségeket</w:t>
      </w:r>
      <w:r w:rsidR="00C86651" w:rsidRPr="005918BA">
        <w:rPr>
          <w:noProof/>
          <w:sz w:val="24"/>
          <w:szCs w:val="24"/>
          <w:lang w:eastAsia="hu-HU"/>
        </w:rPr>
        <w:t xml:space="preserve"> </w:t>
      </w:r>
      <w:r w:rsidR="00C86651" w:rsidRPr="005918BA">
        <w:rPr>
          <w:b/>
          <w:noProof/>
          <w:sz w:val="24"/>
          <w:szCs w:val="24"/>
          <w:lang w:eastAsia="hu-HU"/>
        </w:rPr>
        <w:t>(1)</w:t>
      </w:r>
      <w:r w:rsidR="00E9548E" w:rsidRPr="005918BA">
        <w:rPr>
          <w:b/>
          <w:noProof/>
          <w:sz w:val="24"/>
          <w:szCs w:val="24"/>
          <w:lang w:eastAsia="hu-HU"/>
        </w:rPr>
        <w:t>,</w:t>
      </w:r>
      <w:r w:rsidR="00E9548E" w:rsidRPr="005918BA">
        <w:rPr>
          <w:noProof/>
          <w:sz w:val="24"/>
          <w:szCs w:val="24"/>
          <w:lang w:eastAsia="hu-HU"/>
        </w:rPr>
        <w:t xml:space="preserve"> másfelől </w:t>
      </w:r>
      <w:r w:rsidR="00E9548E" w:rsidRPr="005918BA">
        <w:rPr>
          <w:b/>
          <w:noProof/>
          <w:sz w:val="24"/>
          <w:szCs w:val="24"/>
          <w:lang w:eastAsia="hu-HU"/>
        </w:rPr>
        <w:t>a KKV szektorban</w:t>
      </w:r>
      <w:r w:rsidR="00E9548E" w:rsidRPr="005918BA">
        <w:rPr>
          <w:noProof/>
          <w:sz w:val="24"/>
          <w:szCs w:val="24"/>
          <w:lang w:eastAsia="hu-HU"/>
        </w:rPr>
        <w:t xml:space="preserve"> megfontolandó lehet célzott kormányzati támogatással segíteni a növekvő fajlagos bérköltségek kitermelését. </w:t>
      </w:r>
    </w:p>
    <w:p w:rsidR="00C86651" w:rsidRDefault="00183A69" w:rsidP="00C86651">
      <w:pPr>
        <w:pStyle w:val="Listaszerbekezds"/>
        <w:rPr>
          <w:b/>
          <w:noProof/>
          <w:sz w:val="24"/>
          <w:szCs w:val="24"/>
          <w:lang w:eastAsia="hu-HU"/>
        </w:rPr>
      </w:pPr>
      <w:r>
        <w:rPr>
          <w:b/>
          <w:noProof/>
          <w:sz w:val="24"/>
          <w:szCs w:val="24"/>
          <w:lang w:eastAsia="hu-HU"/>
        </w:rPr>
        <w:t xml:space="preserve">A fentiekből kiindulva az alábbi  </w:t>
      </w:r>
      <w:r w:rsidR="0087440D">
        <w:rPr>
          <w:b/>
          <w:noProof/>
          <w:sz w:val="24"/>
          <w:szCs w:val="24"/>
          <w:lang w:eastAsia="hu-HU"/>
        </w:rPr>
        <w:t>teendők</w:t>
      </w:r>
      <w:r>
        <w:rPr>
          <w:b/>
          <w:noProof/>
          <w:sz w:val="24"/>
          <w:szCs w:val="24"/>
          <w:lang w:eastAsia="hu-HU"/>
        </w:rPr>
        <w:t xml:space="preserve"> javasolhatók a bérfelzárköztatás érdekében</w:t>
      </w:r>
      <w:r w:rsidR="0087440D">
        <w:rPr>
          <w:b/>
          <w:noProof/>
          <w:sz w:val="24"/>
          <w:szCs w:val="24"/>
          <w:lang w:eastAsia="hu-HU"/>
        </w:rPr>
        <w:t>:</w:t>
      </w:r>
    </w:p>
    <w:p w:rsidR="0087440D" w:rsidRDefault="0087440D" w:rsidP="0087440D">
      <w:pPr>
        <w:pStyle w:val="Listaszerbekezds"/>
        <w:numPr>
          <w:ilvl w:val="0"/>
          <w:numId w:val="4"/>
        </w:numPr>
        <w:rPr>
          <w:b/>
          <w:noProof/>
          <w:sz w:val="24"/>
          <w:szCs w:val="24"/>
          <w:lang w:eastAsia="hu-HU"/>
        </w:rPr>
      </w:pPr>
      <w:r>
        <w:rPr>
          <w:b/>
          <w:noProof/>
          <w:sz w:val="24"/>
          <w:szCs w:val="24"/>
          <w:lang w:eastAsia="hu-HU"/>
        </w:rPr>
        <w:t xml:space="preserve">A minimálbérek nettó összege 2018-ig érje el a létminimum összegét. </w:t>
      </w:r>
    </w:p>
    <w:p w:rsidR="00225C95" w:rsidRPr="00981E3A" w:rsidRDefault="00225C95" w:rsidP="00981E3A">
      <w:pPr>
        <w:pStyle w:val="Listaszerbekezds"/>
        <w:numPr>
          <w:ilvl w:val="0"/>
          <w:numId w:val="4"/>
        </w:numPr>
        <w:rPr>
          <w:b/>
          <w:noProof/>
          <w:sz w:val="24"/>
          <w:szCs w:val="24"/>
          <w:lang w:eastAsia="hu-HU"/>
        </w:rPr>
      </w:pPr>
      <w:r>
        <w:rPr>
          <w:b/>
          <w:noProof/>
          <w:sz w:val="24"/>
          <w:szCs w:val="24"/>
          <w:lang w:eastAsia="hu-HU"/>
        </w:rPr>
        <w:t>Ezt követően a minimálbérek érjék el legalább a mindenkori átlagbér (mediánbér) 60%-át</w:t>
      </w:r>
    </w:p>
    <w:p w:rsidR="00981E3A" w:rsidRDefault="00981E3A" w:rsidP="00981E3A">
      <w:pPr>
        <w:pStyle w:val="Listaszerbekezds"/>
        <w:numPr>
          <w:ilvl w:val="0"/>
          <w:numId w:val="4"/>
        </w:numPr>
        <w:spacing w:after="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Az állami és önkormányzati vállalatoknál (közszolgáltatók és közüzemi vállalatok) a béremelések mértéke érje el a versenyszféra átlagos béremelését. A rezsicsökkentés következményei ne érintsék hátrányosan az ott dolgozó  munkavállalók bér-és jövedelmi viszonyait. </w:t>
      </w:r>
    </w:p>
    <w:p w:rsidR="00E9548E" w:rsidRPr="005918BA" w:rsidRDefault="00981E3A" w:rsidP="00E9548E">
      <w:pPr>
        <w:pStyle w:val="Listaszerbekezds"/>
        <w:numPr>
          <w:ilvl w:val="0"/>
          <w:numId w:val="4"/>
        </w:numPr>
        <w:spacing w:after="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Az alacsony (az átlagbér / medián bér 60%-a alatti) bérek esetében  a </w:t>
      </w:r>
      <w:r w:rsidR="00E9548E" w:rsidRPr="005918BA">
        <w:rPr>
          <w:rFonts w:eastAsia="Calibri"/>
          <w:b/>
          <w:sz w:val="24"/>
          <w:szCs w:val="24"/>
        </w:rPr>
        <w:t>munkavállalókat terhelő elvonások (SZJA</w:t>
      </w:r>
      <w:r>
        <w:rPr>
          <w:rFonts w:eastAsia="Calibri"/>
          <w:b/>
          <w:sz w:val="24"/>
          <w:szCs w:val="24"/>
        </w:rPr>
        <w:t xml:space="preserve">) mérséklése  segítse a </w:t>
      </w:r>
      <w:r w:rsidR="00E9548E" w:rsidRPr="005918BA">
        <w:rPr>
          <w:rFonts w:eastAsia="Calibri"/>
          <w:b/>
          <w:sz w:val="24"/>
          <w:szCs w:val="24"/>
          <w:u w:val="single"/>
        </w:rPr>
        <w:t>nettó bére</w:t>
      </w:r>
      <w:r>
        <w:rPr>
          <w:rFonts w:eastAsia="Calibri"/>
          <w:b/>
          <w:sz w:val="24"/>
          <w:szCs w:val="24"/>
          <w:u w:val="single"/>
        </w:rPr>
        <w:t>k emelkedését</w:t>
      </w:r>
      <w:r w:rsidR="00E9548E" w:rsidRPr="005918BA">
        <w:rPr>
          <w:rFonts w:eastAsia="Calibri"/>
          <w:b/>
          <w:sz w:val="24"/>
          <w:szCs w:val="24"/>
        </w:rPr>
        <w:t>.</w:t>
      </w:r>
    </w:p>
    <w:p w:rsidR="00E9548E" w:rsidRDefault="00981E3A" w:rsidP="00E9548E">
      <w:pPr>
        <w:pStyle w:val="Listaszerbekezds"/>
        <w:numPr>
          <w:ilvl w:val="0"/>
          <w:numId w:val="4"/>
        </w:numPr>
        <w:spacing w:after="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Az alacsony (az átlagbér </w:t>
      </w:r>
      <w:r>
        <w:rPr>
          <w:rFonts w:eastAsia="Calibri"/>
          <w:b/>
          <w:sz w:val="24"/>
          <w:szCs w:val="24"/>
        </w:rPr>
        <w:t xml:space="preserve">/ medián bér </w:t>
      </w:r>
      <w:r>
        <w:rPr>
          <w:rFonts w:eastAsia="Calibri"/>
          <w:b/>
          <w:sz w:val="24"/>
          <w:szCs w:val="24"/>
        </w:rPr>
        <w:t>60%-a alatti) bérek</w:t>
      </w:r>
      <w:r>
        <w:rPr>
          <w:rFonts w:eastAsia="Calibri"/>
          <w:b/>
          <w:sz w:val="24"/>
          <w:szCs w:val="24"/>
        </w:rPr>
        <w:t xml:space="preserve">et infláció felett legalább 5%-kal emelő   munkáltatók 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kapjanak kedvezményt a munkaadói járulék megfizetésénél.</w:t>
      </w:r>
    </w:p>
    <w:p w:rsidR="00981E3A" w:rsidRPr="005918BA" w:rsidRDefault="00981E3A" w:rsidP="00E9548E">
      <w:pPr>
        <w:pStyle w:val="Listaszerbekezds"/>
        <w:numPr>
          <w:ilvl w:val="0"/>
          <w:numId w:val="4"/>
        </w:numPr>
        <w:spacing w:after="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 munkavállalókat a vállalati eredményből premizáló/jutalmazó munkáltatók kapjanak járulék kedvezményt az így kifizetett kereseti elemekre, amennyiben az alapbéreket legalább </w:t>
      </w:r>
      <w:r w:rsidR="00D370B8">
        <w:rPr>
          <w:rFonts w:eastAsia="Calibri"/>
          <w:b/>
          <w:sz w:val="24"/>
          <w:szCs w:val="24"/>
        </w:rPr>
        <w:t xml:space="preserve">az infláció és a hozzáadott érték ütemének együttes mértékével emelik. </w:t>
      </w:r>
    </w:p>
    <w:p w:rsidR="00D370B8" w:rsidRPr="005918BA" w:rsidRDefault="00D370B8" w:rsidP="00D370B8">
      <w:pPr>
        <w:pStyle w:val="Listaszerbekezds"/>
        <w:numPr>
          <w:ilvl w:val="0"/>
          <w:numId w:val="4"/>
        </w:numPr>
        <w:rPr>
          <w:b/>
          <w:noProof/>
          <w:sz w:val="24"/>
          <w:szCs w:val="24"/>
          <w:lang w:eastAsia="hu-HU"/>
        </w:rPr>
      </w:pPr>
      <w:r>
        <w:rPr>
          <w:b/>
          <w:noProof/>
          <w:sz w:val="24"/>
          <w:szCs w:val="24"/>
          <w:lang w:eastAsia="hu-HU"/>
        </w:rPr>
        <w:t>A kormány stratégiai partnerei körében a megállapodások terjedjenek ki arra, hogy a hasonló munkakörben dolgozó magyar munkavállalók alapbére érje el  a cégközpontbeli országban fizetett alapbérek legalább 60%-át.</w:t>
      </w:r>
    </w:p>
    <w:p w:rsidR="00C86651" w:rsidRPr="005918BA" w:rsidRDefault="00C86651" w:rsidP="00D370B8">
      <w:pPr>
        <w:pStyle w:val="Listaszerbekezds"/>
        <w:spacing w:after="0" w:line="276" w:lineRule="auto"/>
        <w:ind w:left="2136"/>
        <w:rPr>
          <w:rFonts w:eastAsia="Calibri"/>
          <w:b/>
          <w:sz w:val="24"/>
          <w:szCs w:val="24"/>
        </w:rPr>
      </w:pPr>
    </w:p>
    <w:p w:rsidR="00C86651" w:rsidRPr="005918BA" w:rsidRDefault="00C86651" w:rsidP="00C86651">
      <w:pPr>
        <w:spacing w:line="240" w:lineRule="auto"/>
        <w:rPr>
          <w:b/>
          <w:sz w:val="24"/>
          <w:szCs w:val="24"/>
        </w:rPr>
      </w:pPr>
    </w:p>
    <w:p w:rsidR="007160C7" w:rsidRPr="005918BA" w:rsidRDefault="007C2A91" w:rsidP="007C2A91">
      <w:pPr>
        <w:pStyle w:val="Listaszerbekezds"/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</w:rPr>
      </w:pP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lastRenderedPageBreak/>
        <w:t xml:space="preserve">A bérszint emelésének pótlólagos  formáját képezhetné  a vállalat eredményességéhez kapcsolt többlet javadalmazás </w:t>
      </w:r>
      <w:r w:rsidR="0054336B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gyakorlatának </w:t>
      </w: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elterjesztése, 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e rendszernek </w:t>
      </w: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a vezetőkön túl a beosztott dolgozókra is történő kiterjesztése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, a munkavállalók termelékenységet javító, költségeket csökkentő javaslatainak ösztönzése, e javaslatok végrehajtása és a belőlük keletkező  többlet hozamból történő részesedés felajánlása.  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>Tapasztalatai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>nk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szerint a hazai vállalkozásoknál a b</w:t>
      </w:r>
      <w:r w:rsidR="005F6551" w:rsidRPr="005918BA">
        <w:rPr>
          <w:rFonts w:cs="Arial"/>
          <w:color w:val="222222"/>
          <w:sz w:val="24"/>
          <w:szCs w:val="24"/>
          <w:shd w:val="clear" w:color="auto" w:fill="FFFFFF"/>
        </w:rPr>
        <w:t>é</w:t>
      </w:r>
      <w:r w:rsidR="00E216F1" w:rsidRPr="005918BA">
        <w:rPr>
          <w:rFonts w:cs="Arial"/>
          <w:color w:val="222222"/>
          <w:sz w:val="24"/>
          <w:szCs w:val="24"/>
          <w:shd w:val="clear" w:color="auto" w:fill="FFFFFF"/>
        </w:rPr>
        <w:t>rt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821444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túl gyakran </w:t>
      </w:r>
      <w:r w:rsidR="005F6551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tekintik</w:t>
      </w:r>
      <w:r w:rsidR="005F6551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821444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csak költségtényező</w:t>
      </w:r>
      <w:r w:rsidR="005F6551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nek</w:t>
      </w:r>
      <w:r w:rsidR="00821444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és túl ritkán motivációs eszköz</w:t>
      </w:r>
      <w:r w:rsidR="00E216F1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nek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r w:rsidR="00E216F1" w:rsidRPr="005918BA">
        <w:rPr>
          <w:rFonts w:cs="Arial"/>
          <w:color w:val="222222"/>
          <w:sz w:val="24"/>
          <w:szCs w:val="24"/>
          <w:shd w:val="clear" w:color="auto" w:fill="FFFFFF"/>
        </w:rPr>
        <w:t>Nem egy olyan vállalkozás vezetőjével találkozt</w:t>
      </w:r>
      <w:r w:rsidR="0054336B" w:rsidRPr="005918BA">
        <w:rPr>
          <w:rFonts w:cs="Arial"/>
          <w:color w:val="222222"/>
          <w:sz w:val="24"/>
          <w:szCs w:val="24"/>
          <w:shd w:val="clear" w:color="auto" w:fill="FFFFFF"/>
        </w:rPr>
        <w:t>unk</w:t>
      </w:r>
      <w:r w:rsidR="00E216F1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, aki a hatékonyság növelés </w:t>
      </w:r>
      <w:r w:rsidR="007160C7" w:rsidRPr="005918BA">
        <w:rPr>
          <w:rFonts w:cs="Arial"/>
          <w:color w:val="222222"/>
          <w:sz w:val="24"/>
          <w:szCs w:val="24"/>
          <w:shd w:val="clear" w:color="auto" w:fill="FFFFFF"/>
        </w:rPr>
        <w:t>legkézenfekvőbb</w:t>
      </w:r>
      <w:r w:rsidR="00E216F1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eszközének a </w:t>
      </w:r>
      <w:r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nominális </w:t>
      </w:r>
      <w:r w:rsidR="00E216F1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bérköltség</w:t>
      </w:r>
      <w:r w:rsidR="007160C7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leszorítását</w:t>
      </w:r>
      <w:r w:rsidR="00E216F1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látja, ehhez képest a selejt csökkentését, a milliárdos összegű  értékvesztés </w:t>
      </w:r>
      <w:r w:rsidR="007160C7" w:rsidRPr="005918BA">
        <w:rPr>
          <w:rFonts w:cs="Arial"/>
          <w:color w:val="222222"/>
          <w:sz w:val="24"/>
          <w:szCs w:val="24"/>
          <w:shd w:val="clear" w:color="auto" w:fill="FFFFFF"/>
        </w:rPr>
        <w:t>mérséklését</w:t>
      </w:r>
      <w:r w:rsidR="00E216F1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7160C7" w:rsidRPr="005918BA">
        <w:rPr>
          <w:rFonts w:cs="Arial"/>
          <w:color w:val="222222"/>
          <w:sz w:val="24"/>
          <w:szCs w:val="24"/>
          <w:shd w:val="clear" w:color="auto" w:fill="FFFFFF"/>
        </w:rPr>
        <w:t>fárasztó, sziszifuszi munkának</w:t>
      </w:r>
      <w:r w:rsidR="0054336B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tartja</w:t>
      </w:r>
      <w:r w:rsidR="007160C7" w:rsidRPr="005918BA">
        <w:rPr>
          <w:rFonts w:cs="Arial"/>
          <w:color w:val="222222"/>
          <w:sz w:val="24"/>
          <w:szCs w:val="24"/>
          <w:shd w:val="clear" w:color="auto" w:fill="FFFFFF"/>
        </w:rPr>
        <w:t>, ami</w:t>
      </w:r>
      <w:r w:rsidR="0054336B" w:rsidRPr="005918BA">
        <w:rPr>
          <w:rFonts w:cs="Arial"/>
          <w:color w:val="222222"/>
          <w:sz w:val="24"/>
          <w:szCs w:val="24"/>
          <w:shd w:val="clear" w:color="auto" w:fill="FFFFFF"/>
        </w:rPr>
        <w:t>vel nem érdemes foglalkozni</w:t>
      </w:r>
      <w:r w:rsidR="007160C7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542B73" w:rsidRPr="005918BA" w:rsidRDefault="007C2A91" w:rsidP="00016911">
      <w:pPr>
        <w:pStyle w:val="Listaszerbekezds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A kollektív érdekeltségi megoldások sajátos formáját jelenthetné a </w:t>
      </w:r>
      <w:r w:rsidR="00016911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munkahelyeken a </w:t>
      </w:r>
      <w:r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generációk közötti együttműködés </w:t>
      </w:r>
      <w:r w:rsidR="00016911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előnyeinek kiaknázása</w:t>
      </w:r>
      <w:r w:rsidR="00016911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, ennek során a tapasztalat (lásd idősek) és az innováció (lásd fiatalok) kombinálása.  A </w:t>
      </w:r>
      <w:r w:rsidR="005135E3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munkavállalók korösszetételének elkerülhetetlen </w:t>
      </w:r>
      <w:r w:rsidR="00E00277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idősödése</w:t>
      </w:r>
      <w:r w:rsidR="00016911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a demográfiai folyamatok </w:t>
      </w:r>
      <w:r w:rsidR="005135E3" w:rsidRPr="005918BA">
        <w:rPr>
          <w:rFonts w:cs="Arial"/>
          <w:color w:val="222222"/>
          <w:sz w:val="24"/>
          <w:szCs w:val="24"/>
          <w:shd w:val="clear" w:color="auto" w:fill="FFFFFF"/>
        </w:rPr>
        <w:t>és a határon átnyúló mobilitás felerősödése miatt</w:t>
      </w:r>
      <w:r w:rsidR="00016911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,  szükségszerűvé teszi, hogy a munkaadók </w:t>
      </w:r>
      <w:r w:rsidR="00E14029" w:rsidRPr="005918BA">
        <w:rPr>
          <w:rFonts w:cs="Arial"/>
          <w:color w:val="222222"/>
          <w:sz w:val="24"/>
          <w:szCs w:val="24"/>
          <w:shd w:val="clear" w:color="auto" w:fill="FFFFFF"/>
        </w:rPr>
        <w:t>s</w:t>
      </w:r>
      <w:r w:rsidR="00542B73" w:rsidRPr="005918BA">
        <w:rPr>
          <w:rFonts w:cs="Arial"/>
          <w:color w:val="222222"/>
          <w:sz w:val="24"/>
          <w:szCs w:val="24"/>
          <w:shd w:val="clear" w:color="auto" w:fill="FFFFFF"/>
        </w:rPr>
        <w:t>okkal</w:t>
      </w:r>
      <w:r w:rsidR="005135E3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542B73" w:rsidRPr="005918BA">
        <w:rPr>
          <w:rFonts w:cs="Arial"/>
          <w:color w:val="222222"/>
          <w:sz w:val="24"/>
          <w:szCs w:val="24"/>
          <w:shd w:val="clear" w:color="auto" w:fill="FFFFFF"/>
        </w:rPr>
        <w:t>több</w:t>
      </w:r>
      <w:r w:rsidR="00E14029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figyelmet fordít</w:t>
      </w:r>
      <w:r w:rsidR="00016911" w:rsidRPr="005918BA">
        <w:rPr>
          <w:rFonts w:cs="Arial"/>
          <w:color w:val="222222"/>
          <w:sz w:val="24"/>
          <w:szCs w:val="24"/>
          <w:shd w:val="clear" w:color="auto" w:fill="FFFFFF"/>
        </w:rPr>
        <w:t>s</w:t>
      </w:r>
      <w:r w:rsidR="005135E3" w:rsidRPr="005918BA">
        <w:rPr>
          <w:rFonts w:cs="Arial"/>
          <w:color w:val="222222"/>
          <w:sz w:val="24"/>
          <w:szCs w:val="24"/>
          <w:shd w:val="clear" w:color="auto" w:fill="FFFFFF"/>
        </w:rPr>
        <w:t>a</w:t>
      </w:r>
      <w:r w:rsidR="00E14029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nak </w:t>
      </w:r>
      <w:r w:rsidR="00E14029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az</w:t>
      </w:r>
      <w:r w:rsidR="005135E3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42B73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időse</w:t>
      </w:r>
      <w:r w:rsidR="00E14029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bb</w:t>
      </w:r>
      <w:r w:rsidR="005135E3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korosztály munkába</w:t>
      </w:r>
      <w:r w:rsidR="00E14029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n</w:t>
      </w:r>
      <w:r w:rsidR="005135E3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tartására</w:t>
      </w:r>
      <w:r w:rsidR="005135E3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="00E14029" w:rsidRPr="005918BA">
        <w:rPr>
          <w:rFonts w:cs="Arial"/>
          <w:color w:val="222222"/>
          <w:sz w:val="24"/>
          <w:szCs w:val="24"/>
          <w:shd w:val="clear" w:color="auto" w:fill="FFFFFF"/>
        </w:rPr>
        <w:t>amihez</w:t>
      </w:r>
      <w:r w:rsidR="005135E3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542B73" w:rsidRPr="005918BA">
        <w:rPr>
          <w:rFonts w:cs="Arial"/>
          <w:color w:val="222222"/>
          <w:sz w:val="24"/>
          <w:szCs w:val="24"/>
          <w:shd w:val="clear" w:color="auto" w:fill="FFFFFF"/>
        </w:rPr>
        <w:t>javítani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542B73" w:rsidRPr="005918BA">
        <w:rPr>
          <w:rFonts w:cs="Arial"/>
          <w:color w:val="222222"/>
          <w:sz w:val="24"/>
          <w:szCs w:val="24"/>
          <w:shd w:val="clear" w:color="auto" w:fill="FFFFFF"/>
        </w:rPr>
        <w:t>kell az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idősebb korosztály </w:t>
      </w:r>
      <w:r w:rsidR="00821444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munkakörülményeit</w:t>
      </w:r>
      <w:r w:rsidR="00821444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és jobban kihasználni </w:t>
      </w:r>
      <w:r w:rsidR="00821444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>a generációk</w:t>
      </w:r>
      <w:r w:rsidR="00016911" w:rsidRPr="005918B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együttműködésének szinergiáit. </w:t>
      </w:r>
      <w:r w:rsidR="00542B73" w:rsidRPr="005918B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00277" w:rsidRPr="005918BA" w:rsidRDefault="00E00277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C86651" w:rsidRPr="005918BA" w:rsidRDefault="00C86651" w:rsidP="00C86651">
      <w:pPr>
        <w:pStyle w:val="Listaszerbekezds"/>
        <w:spacing w:line="240" w:lineRule="auto"/>
        <w:rPr>
          <w:sz w:val="24"/>
          <w:szCs w:val="24"/>
        </w:rPr>
      </w:pPr>
      <w:r w:rsidRPr="005918BA">
        <w:rPr>
          <w:sz w:val="24"/>
          <w:szCs w:val="24"/>
        </w:rPr>
        <w:t xml:space="preserve">1) Ágazati szinten a dinamikusabb  bér emelés a kereskedelemben és a turizmus-vendéglátásban okozna a munkáltatók egy részénél  forrás hiányt, (legalábbis </w:t>
      </w:r>
      <w:r w:rsidRPr="005918BA">
        <w:rPr>
          <w:b/>
          <w:sz w:val="24"/>
          <w:szCs w:val="24"/>
        </w:rPr>
        <w:t>a legálisan bevallott</w:t>
      </w:r>
      <w:r w:rsidRPr="005918BA">
        <w:rPr>
          <w:sz w:val="24"/>
          <w:szCs w:val="24"/>
        </w:rPr>
        <w:t xml:space="preserve"> adatok szerint), de éppen ez az a két ágazat, ahol </w:t>
      </w:r>
      <w:r w:rsidRPr="005918BA">
        <w:rPr>
          <w:b/>
          <w:sz w:val="24"/>
          <w:szCs w:val="24"/>
        </w:rPr>
        <w:t>a legnagyobb a munkaerőhiány</w:t>
      </w:r>
      <w:r w:rsidRPr="005918BA">
        <w:rPr>
          <w:sz w:val="24"/>
          <w:szCs w:val="24"/>
        </w:rPr>
        <w:t xml:space="preserve">, </w:t>
      </w:r>
      <w:r w:rsidRPr="005918BA">
        <w:rPr>
          <w:b/>
          <w:sz w:val="24"/>
          <w:szCs w:val="24"/>
        </w:rPr>
        <w:t>illetve az elvándorlás</w:t>
      </w:r>
      <w:r w:rsidRPr="005918BA">
        <w:rPr>
          <w:sz w:val="24"/>
          <w:szCs w:val="24"/>
        </w:rPr>
        <w:t xml:space="preserve"> és ahol emiatt a béremelés mindenképpen elkerülhetetlen lesz.</w:t>
      </w:r>
    </w:p>
    <w:p w:rsidR="00C86651" w:rsidRPr="005918BA" w:rsidRDefault="00C86651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E24CD0" w:rsidRPr="005918BA" w:rsidRDefault="00E24CD0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111466" w:rsidRPr="005918BA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111466" w:rsidRPr="005918BA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111466" w:rsidRPr="005918BA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111466" w:rsidRPr="005918BA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111466" w:rsidRPr="005918BA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111466" w:rsidRPr="005918BA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111466" w:rsidRPr="005918BA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111466" w:rsidRPr="005918BA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111466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F568CF" w:rsidRDefault="00F568CF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F568CF" w:rsidRDefault="00F568CF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F568CF" w:rsidRPr="005918BA" w:rsidRDefault="00F568CF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111466" w:rsidRPr="005918BA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E24CD0" w:rsidRPr="005918BA" w:rsidRDefault="00E24CD0" w:rsidP="00542B73">
      <w:pPr>
        <w:pStyle w:val="Listaszerbekezds"/>
        <w:spacing w:line="240" w:lineRule="auto"/>
        <w:rPr>
          <w:b/>
          <w:sz w:val="24"/>
          <w:szCs w:val="24"/>
        </w:rPr>
      </w:pPr>
      <w:r w:rsidRPr="005918BA">
        <w:rPr>
          <w:b/>
          <w:sz w:val="24"/>
          <w:szCs w:val="24"/>
        </w:rPr>
        <w:lastRenderedPageBreak/>
        <w:t>Melléketek:</w:t>
      </w:r>
      <w:r w:rsidR="00A3060E" w:rsidRPr="005918BA">
        <w:rPr>
          <w:b/>
          <w:sz w:val="24"/>
          <w:szCs w:val="24"/>
        </w:rPr>
        <w:t xml:space="preserve"> </w:t>
      </w:r>
      <w:r w:rsidR="00A3060E" w:rsidRPr="005918BA">
        <w:rPr>
          <w:b/>
          <w:noProof/>
          <w:sz w:val="24"/>
          <w:szCs w:val="24"/>
          <w:lang w:eastAsia="hu-HU"/>
        </w:rPr>
        <w:drawing>
          <wp:inline distT="0" distB="0" distL="0" distR="0" wp14:anchorId="191D4C5D" wp14:editId="14074987">
            <wp:extent cx="5760720" cy="323977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BA" w:rsidRPr="005918BA" w:rsidRDefault="005918BA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111466" w:rsidRPr="005918BA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  <w:r w:rsidRPr="005918BA">
        <w:rPr>
          <w:b/>
          <w:noProof/>
          <w:sz w:val="24"/>
          <w:szCs w:val="24"/>
          <w:lang w:eastAsia="hu-HU"/>
        </w:rPr>
        <w:drawing>
          <wp:inline distT="0" distB="0" distL="0" distR="0" wp14:anchorId="70D587C2" wp14:editId="192CBE55">
            <wp:extent cx="5760720" cy="323977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BA" w:rsidRPr="005918BA" w:rsidRDefault="005918BA" w:rsidP="00542B73">
      <w:pPr>
        <w:pStyle w:val="Listaszerbekezds"/>
        <w:spacing w:line="240" w:lineRule="auto"/>
        <w:rPr>
          <w:b/>
          <w:sz w:val="24"/>
          <w:szCs w:val="24"/>
        </w:rPr>
      </w:pPr>
      <w:r w:rsidRPr="005918BA">
        <w:rPr>
          <w:b/>
          <w:sz w:val="24"/>
          <w:szCs w:val="24"/>
        </w:rPr>
        <w:t>Forrás: KSH</w:t>
      </w:r>
    </w:p>
    <w:p w:rsidR="00111466" w:rsidRPr="005918BA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  <w:r w:rsidRPr="005918BA">
        <w:rPr>
          <w:noProof/>
          <w:sz w:val="24"/>
          <w:szCs w:val="24"/>
          <w:lang w:eastAsia="hu-HU"/>
        </w:rPr>
        <w:lastRenderedPageBreak/>
        <w:drawing>
          <wp:inline distT="0" distB="0" distL="0" distR="0" wp14:anchorId="5E455A24" wp14:editId="25A00E5E">
            <wp:extent cx="5310835" cy="3664915"/>
            <wp:effectExtent l="0" t="0" r="4445" b="1206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18BA" w:rsidRPr="005918BA" w:rsidRDefault="005918BA" w:rsidP="00542B73">
      <w:pPr>
        <w:pStyle w:val="Listaszerbekezds"/>
        <w:spacing w:line="240" w:lineRule="auto"/>
        <w:rPr>
          <w:b/>
          <w:sz w:val="24"/>
          <w:szCs w:val="24"/>
        </w:rPr>
      </w:pPr>
      <w:r w:rsidRPr="005918BA">
        <w:rPr>
          <w:b/>
          <w:sz w:val="24"/>
          <w:szCs w:val="24"/>
        </w:rPr>
        <w:t>Forrás: KSH</w:t>
      </w:r>
    </w:p>
    <w:p w:rsidR="00111466" w:rsidRPr="005918BA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  <w:r w:rsidRPr="005918BA">
        <w:rPr>
          <w:b/>
          <w:noProof/>
          <w:sz w:val="24"/>
          <w:szCs w:val="24"/>
          <w:lang w:eastAsia="hu-HU"/>
        </w:rPr>
        <w:drawing>
          <wp:inline distT="0" distB="0" distL="0" distR="0" wp14:anchorId="73C0B129" wp14:editId="48B4EA32">
            <wp:extent cx="5760720" cy="32397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BA" w:rsidRPr="005918BA" w:rsidRDefault="005918BA" w:rsidP="00542B73">
      <w:pPr>
        <w:pStyle w:val="Listaszerbekezds"/>
        <w:spacing w:line="240" w:lineRule="auto"/>
        <w:rPr>
          <w:b/>
          <w:sz w:val="24"/>
          <w:szCs w:val="24"/>
        </w:rPr>
      </w:pPr>
      <w:r w:rsidRPr="005918BA">
        <w:rPr>
          <w:b/>
          <w:sz w:val="24"/>
          <w:szCs w:val="24"/>
        </w:rPr>
        <w:t>Forrás: Eurostat</w:t>
      </w:r>
    </w:p>
    <w:p w:rsidR="00111466" w:rsidRPr="005918BA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  <w:r w:rsidRPr="005918BA">
        <w:rPr>
          <w:b/>
          <w:noProof/>
          <w:sz w:val="24"/>
          <w:szCs w:val="24"/>
          <w:lang w:eastAsia="hu-HU"/>
        </w:rPr>
        <w:lastRenderedPageBreak/>
        <w:drawing>
          <wp:inline distT="0" distB="0" distL="0" distR="0" wp14:anchorId="4B9CAEE9" wp14:editId="4ECE910B">
            <wp:extent cx="5760720" cy="323977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BA" w:rsidRPr="005918BA" w:rsidRDefault="005918BA" w:rsidP="00542B73">
      <w:pPr>
        <w:pStyle w:val="Listaszerbekezds"/>
        <w:spacing w:line="240" w:lineRule="auto"/>
        <w:rPr>
          <w:b/>
          <w:sz w:val="24"/>
          <w:szCs w:val="24"/>
        </w:rPr>
      </w:pPr>
      <w:r w:rsidRPr="005918BA">
        <w:rPr>
          <w:b/>
          <w:sz w:val="24"/>
          <w:szCs w:val="24"/>
        </w:rPr>
        <w:t>Forrás: Eurostat</w:t>
      </w:r>
    </w:p>
    <w:p w:rsidR="005918BA" w:rsidRPr="005918BA" w:rsidRDefault="005918BA" w:rsidP="005918BA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5918BA">
        <w:rPr>
          <w:rFonts w:cs="Arial"/>
          <w:b/>
          <w:bCs/>
          <w:sz w:val="24"/>
          <w:szCs w:val="24"/>
        </w:rPr>
        <w:t xml:space="preserve">          Az átlagbér 67%-át kitevő (alacsony bérű) dolgozók béreit  terhelő elvonások </w:t>
      </w:r>
    </w:p>
    <w:p w:rsidR="005918BA" w:rsidRPr="005918BA" w:rsidRDefault="005918BA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111466" w:rsidRPr="005918BA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  <w:r w:rsidRPr="005918BA">
        <w:rPr>
          <w:b/>
          <w:noProof/>
          <w:sz w:val="24"/>
          <w:szCs w:val="24"/>
          <w:lang w:eastAsia="hu-HU"/>
        </w:rPr>
        <w:drawing>
          <wp:inline distT="0" distB="0" distL="0" distR="0" wp14:anchorId="1EFACC56" wp14:editId="167DC0A8">
            <wp:extent cx="5191531" cy="390525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38" cy="394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BA" w:rsidRPr="005918BA" w:rsidRDefault="005918BA" w:rsidP="005918BA">
      <w:pPr>
        <w:spacing w:line="276" w:lineRule="auto"/>
        <w:rPr>
          <w:rFonts w:cs="Arial"/>
          <w:iCs/>
          <w:sz w:val="24"/>
          <w:szCs w:val="24"/>
        </w:rPr>
      </w:pPr>
      <w:r w:rsidRPr="005918BA">
        <w:rPr>
          <w:rFonts w:cs="Arial"/>
          <w:b/>
          <w:bCs/>
          <w:sz w:val="24"/>
          <w:szCs w:val="24"/>
        </w:rPr>
        <w:t xml:space="preserve">            Forrás: </w:t>
      </w:r>
      <w:r w:rsidRPr="005918BA">
        <w:rPr>
          <w:rFonts w:cs="Arial"/>
          <w:iCs/>
          <w:sz w:val="24"/>
          <w:szCs w:val="24"/>
        </w:rPr>
        <w:t>Joint European Commission-OECD project, Tax &amp; benefits indicators database.</w:t>
      </w:r>
    </w:p>
    <w:p w:rsidR="00111466" w:rsidRPr="005918BA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111466" w:rsidRPr="005918BA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</w:p>
    <w:p w:rsidR="00111466" w:rsidRPr="005918BA" w:rsidRDefault="00111466" w:rsidP="00542B73">
      <w:pPr>
        <w:pStyle w:val="Listaszerbekezds"/>
        <w:spacing w:line="240" w:lineRule="auto"/>
        <w:rPr>
          <w:b/>
          <w:sz w:val="24"/>
          <w:szCs w:val="24"/>
        </w:rPr>
      </w:pPr>
      <w:r w:rsidRPr="005918BA">
        <w:rPr>
          <w:b/>
          <w:noProof/>
          <w:sz w:val="24"/>
          <w:szCs w:val="24"/>
          <w:lang w:eastAsia="hu-HU"/>
        </w:rPr>
        <w:lastRenderedPageBreak/>
        <w:drawing>
          <wp:inline distT="0" distB="0" distL="0" distR="0" wp14:anchorId="53BA996B" wp14:editId="606B1990">
            <wp:extent cx="5760720" cy="323977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66" w:rsidRPr="005918BA" w:rsidRDefault="005918BA" w:rsidP="005918BA">
      <w:pPr>
        <w:pStyle w:val="Listaszerbekezds"/>
        <w:spacing w:line="240" w:lineRule="auto"/>
        <w:rPr>
          <w:b/>
          <w:sz w:val="24"/>
          <w:szCs w:val="24"/>
        </w:rPr>
      </w:pPr>
      <w:r w:rsidRPr="005918BA">
        <w:rPr>
          <w:b/>
          <w:sz w:val="24"/>
          <w:szCs w:val="24"/>
        </w:rPr>
        <w:t>Forrás: Eurostat</w:t>
      </w:r>
    </w:p>
    <w:p w:rsidR="00111466" w:rsidRPr="005918BA" w:rsidRDefault="00111466" w:rsidP="00111466">
      <w:pPr>
        <w:spacing w:line="276" w:lineRule="auto"/>
        <w:rPr>
          <w:rFonts w:eastAsia="Calibri"/>
          <w:b/>
          <w:sz w:val="24"/>
          <w:szCs w:val="24"/>
        </w:rPr>
      </w:pPr>
      <w:r w:rsidRPr="005918BA">
        <w:rPr>
          <w:noProof/>
          <w:sz w:val="24"/>
          <w:szCs w:val="24"/>
          <w:lang w:eastAsia="hu-HU"/>
        </w:rPr>
        <w:drawing>
          <wp:inline distT="0" distB="0" distL="0" distR="0" wp14:anchorId="52442ED9" wp14:editId="1CC61C17">
            <wp:extent cx="4762500" cy="3429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66" w:rsidRPr="005918BA" w:rsidRDefault="00111466" w:rsidP="00111466">
      <w:pPr>
        <w:spacing w:line="276" w:lineRule="auto"/>
        <w:rPr>
          <w:rFonts w:eastAsia="Calibri"/>
          <w:b/>
          <w:sz w:val="24"/>
          <w:szCs w:val="24"/>
        </w:rPr>
      </w:pPr>
      <w:r w:rsidRPr="005918BA">
        <w:rPr>
          <w:noProof/>
          <w:sz w:val="24"/>
          <w:szCs w:val="24"/>
          <w:lang w:eastAsia="hu-HU"/>
        </w:rPr>
        <w:drawing>
          <wp:inline distT="0" distB="0" distL="0" distR="0" wp14:anchorId="77306F5A" wp14:editId="182CB719">
            <wp:extent cx="5781675" cy="5067300"/>
            <wp:effectExtent l="0" t="0" r="952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66" w:rsidRPr="005918BA" w:rsidRDefault="00111466" w:rsidP="00111466">
      <w:pPr>
        <w:spacing w:line="276" w:lineRule="auto"/>
        <w:rPr>
          <w:rFonts w:eastAsia="Calibri"/>
          <w:b/>
          <w:sz w:val="24"/>
          <w:szCs w:val="24"/>
        </w:rPr>
      </w:pPr>
    </w:p>
    <w:tbl>
      <w:tblPr>
        <w:tblW w:w="10713" w:type="dxa"/>
        <w:tblInd w:w="-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570"/>
        <w:gridCol w:w="1718"/>
        <w:gridCol w:w="1748"/>
        <w:gridCol w:w="1596"/>
        <w:gridCol w:w="1407"/>
        <w:gridCol w:w="1473"/>
        <w:gridCol w:w="1674"/>
      </w:tblGrid>
      <w:tr w:rsidR="00111466" w:rsidRPr="005918BA" w:rsidTr="00111466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66" w:rsidRPr="005918BA" w:rsidRDefault="00111466" w:rsidP="001B1AB0">
            <w:pPr>
              <w:rPr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noProof/>
                <w:color w:val="000000"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59DF3E6B" wp14:editId="646A79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38125"/>
                  <wp:effectExtent l="0" t="0" r="9525" b="9525"/>
                  <wp:wrapNone/>
                  <wp:docPr id="14" name="Kép 1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8BA">
              <w:rPr>
                <w:noProof/>
                <w:color w:val="000000"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63BE0314" wp14:editId="0B88F5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38125"/>
                  <wp:effectExtent l="0" t="0" r="9525" b="9525"/>
                  <wp:wrapNone/>
                  <wp:docPr id="13" name="Kép 1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8BA">
              <w:rPr>
                <w:noProof/>
                <w:color w:val="000000"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203F042C" wp14:editId="2C8FC9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38125"/>
                  <wp:effectExtent l="0" t="0" r="9525" b="9525"/>
                  <wp:wrapNone/>
                  <wp:docPr id="12" name="Kép 1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111466" w:rsidRPr="005918BA" w:rsidTr="001B1AB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1466" w:rsidRPr="005918BA" w:rsidRDefault="00111466" w:rsidP="001B1AB0">
                  <w:pPr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5918BA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2013</w:t>
                  </w:r>
                </w:p>
              </w:tc>
            </w:tr>
          </w:tbl>
          <w:p w:rsidR="00111466" w:rsidRPr="005918BA" w:rsidRDefault="00111466" w:rsidP="001B1AB0">
            <w:pPr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56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66" w:rsidRPr="005918BA" w:rsidRDefault="00111466" w:rsidP="001B1AB0">
            <w:pPr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b/>
                <w:bCs/>
                <w:color w:val="000000"/>
                <w:sz w:val="24"/>
                <w:szCs w:val="24"/>
                <w:lang w:eastAsia="hu-HU"/>
              </w:rPr>
              <w:t>Az egységnyi bérre jutó termelékenység nagysága - Magyarország-Ausztria</w:t>
            </w:r>
          </w:p>
          <w:p w:rsidR="00111466" w:rsidRPr="005918BA" w:rsidRDefault="00111466" w:rsidP="001B1AB0">
            <w:pPr>
              <w:rPr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11466" w:rsidRPr="005918BA" w:rsidTr="00111466">
        <w:trPr>
          <w:trHeight w:val="121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66" w:rsidRPr="005918BA" w:rsidRDefault="00111466" w:rsidP="001B1AB0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66" w:rsidRPr="005918BA" w:rsidRDefault="00111466" w:rsidP="001B1AB0">
            <w:pPr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color w:val="000000"/>
                <w:sz w:val="24"/>
                <w:szCs w:val="24"/>
                <w:lang w:eastAsia="hu-HU"/>
              </w:rPr>
              <w:t>Administrative and support service activities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66" w:rsidRPr="005918BA" w:rsidRDefault="00111466" w:rsidP="001B1AB0">
            <w:pPr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color w:val="000000"/>
                <w:sz w:val="24"/>
                <w:szCs w:val="24"/>
                <w:lang w:eastAsia="hu-HU"/>
              </w:rPr>
              <w:t>Information and communication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66" w:rsidRPr="005918BA" w:rsidRDefault="00111466" w:rsidP="001B1AB0">
            <w:pPr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color w:val="000000"/>
                <w:sz w:val="24"/>
                <w:szCs w:val="24"/>
                <w:lang w:eastAsia="hu-HU"/>
              </w:rPr>
              <w:t>Accommodation and food service activities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66" w:rsidRPr="005918BA" w:rsidRDefault="00111466" w:rsidP="001B1AB0">
            <w:pPr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color w:val="000000"/>
                <w:sz w:val="24"/>
                <w:szCs w:val="24"/>
                <w:lang w:eastAsia="hu-HU"/>
              </w:rPr>
              <w:t>Transportation and storage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66" w:rsidRPr="005918BA" w:rsidRDefault="00111466" w:rsidP="001B1AB0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b/>
                <w:bCs/>
                <w:color w:val="000000"/>
                <w:sz w:val="24"/>
                <w:szCs w:val="24"/>
                <w:lang w:eastAsia="hu-HU"/>
              </w:rPr>
              <w:t>Wholesale and retail trade; repair of motor vehicles and motorcycles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66" w:rsidRPr="005918BA" w:rsidRDefault="00111466" w:rsidP="001B1AB0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b/>
                <w:bCs/>
                <w:color w:val="000000"/>
                <w:sz w:val="24"/>
                <w:szCs w:val="24"/>
                <w:lang w:eastAsia="hu-HU"/>
              </w:rPr>
              <w:t>Construction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66" w:rsidRPr="005918BA" w:rsidRDefault="00111466" w:rsidP="001B1AB0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b/>
                <w:bCs/>
                <w:color w:val="000000"/>
                <w:sz w:val="24"/>
                <w:szCs w:val="24"/>
                <w:lang w:eastAsia="hu-HU"/>
              </w:rPr>
              <w:t>Manufacturing </w:t>
            </w:r>
          </w:p>
        </w:tc>
      </w:tr>
      <w:tr w:rsidR="00111466" w:rsidRPr="005918BA" w:rsidTr="00111466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ind w:firstLineChars="100" w:firstLine="241"/>
              <w:rPr>
                <w:rFonts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b/>
                <w:bCs/>
                <w:color w:val="000000"/>
                <w:sz w:val="24"/>
                <w:szCs w:val="24"/>
                <w:lang w:eastAsia="hu-HU"/>
              </w:rPr>
              <w:t>Hungary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color w:val="000000"/>
                <w:sz w:val="24"/>
                <w:szCs w:val="24"/>
                <w:lang w:eastAsia="hu-HU"/>
              </w:rPr>
              <w:t>140.3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5918BA">
              <w:rPr>
                <w:rFonts w:cs="Arial"/>
                <w:b/>
                <w:bCs/>
                <w:color w:val="FF0000"/>
                <w:sz w:val="24"/>
                <w:szCs w:val="24"/>
                <w:u w:val="single"/>
                <w:lang w:eastAsia="hu-HU"/>
              </w:rPr>
              <w:t>167.7 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color w:val="000000"/>
                <w:sz w:val="24"/>
                <w:szCs w:val="24"/>
                <w:lang w:eastAsia="hu-HU"/>
              </w:rPr>
              <w:t>102.7 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color w:val="000000"/>
                <w:sz w:val="24"/>
                <w:szCs w:val="24"/>
                <w:lang w:eastAsia="hu-HU"/>
              </w:rPr>
              <w:t>148.8 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5918BA">
              <w:rPr>
                <w:rFonts w:cs="Arial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146.0 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5918BA">
              <w:rPr>
                <w:rFonts w:cs="Arial"/>
                <w:b/>
                <w:bCs/>
                <w:color w:val="FF0000"/>
                <w:sz w:val="24"/>
                <w:szCs w:val="24"/>
                <w:u w:val="single"/>
                <w:lang w:eastAsia="hu-HU"/>
              </w:rPr>
              <w:t>146.1 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5918BA">
              <w:rPr>
                <w:rFonts w:cs="Arial"/>
                <w:b/>
                <w:bCs/>
                <w:color w:val="FF0000"/>
                <w:sz w:val="24"/>
                <w:szCs w:val="24"/>
                <w:u w:val="single"/>
                <w:lang w:eastAsia="hu-HU"/>
              </w:rPr>
              <w:t>211.7 </w:t>
            </w:r>
          </w:p>
        </w:tc>
      </w:tr>
      <w:tr w:rsidR="00111466" w:rsidRPr="005918BA" w:rsidTr="00111466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ind w:firstLineChars="100" w:firstLine="241"/>
              <w:rPr>
                <w:rFonts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b/>
                <w:bCs/>
                <w:color w:val="000000"/>
                <w:sz w:val="24"/>
                <w:szCs w:val="24"/>
                <w:lang w:eastAsia="hu-HU"/>
              </w:rPr>
              <w:t>Austria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color w:val="000000"/>
                <w:sz w:val="24"/>
                <w:szCs w:val="24"/>
                <w:lang w:eastAsia="hu-HU"/>
              </w:rPr>
              <w:t>149.9 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5918BA">
              <w:rPr>
                <w:rFonts w:cs="Arial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128.1 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color w:val="000000"/>
                <w:sz w:val="24"/>
                <w:szCs w:val="24"/>
                <w:lang w:eastAsia="hu-HU"/>
              </w:rPr>
              <w:t>124.7 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color w:val="000000"/>
                <w:sz w:val="24"/>
                <w:szCs w:val="24"/>
                <w:lang w:eastAsia="hu-HU"/>
              </w:rPr>
              <w:t>164.3 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5918BA">
              <w:rPr>
                <w:rFonts w:cs="Arial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129.2 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5918BA">
              <w:rPr>
                <w:rFonts w:cs="Arial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124.0 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5918BA">
              <w:rPr>
                <w:rFonts w:cs="Arial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142.9 </w:t>
            </w:r>
          </w:p>
        </w:tc>
      </w:tr>
      <w:tr w:rsidR="00111466" w:rsidRPr="005918BA" w:rsidTr="00111466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ind w:firstLineChars="100" w:firstLine="241"/>
              <w:rPr>
                <w:rFonts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b/>
                <w:bCs/>
                <w:color w:val="000000"/>
                <w:sz w:val="24"/>
                <w:szCs w:val="24"/>
                <w:lang w:eastAsia="hu-HU"/>
              </w:rPr>
              <w:t>Poland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color w:val="000000"/>
                <w:sz w:val="24"/>
                <w:szCs w:val="24"/>
                <w:lang w:eastAsia="hu-HU"/>
              </w:rPr>
              <w:t>135.9 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b/>
                <w:color w:val="FF0000"/>
                <w:sz w:val="24"/>
                <w:szCs w:val="24"/>
                <w:lang w:eastAsia="hu-HU"/>
              </w:rPr>
              <w:t>183.3 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color w:val="000000"/>
                <w:sz w:val="24"/>
                <w:szCs w:val="24"/>
                <w:lang w:eastAsia="hu-HU"/>
              </w:rPr>
              <w:t>125.1 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color w:val="000000"/>
                <w:sz w:val="24"/>
                <w:szCs w:val="24"/>
                <w:lang w:eastAsia="hu-HU"/>
              </w:rPr>
              <w:t>152.6 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b/>
                <w:color w:val="000000"/>
                <w:sz w:val="24"/>
                <w:szCs w:val="24"/>
                <w:lang w:eastAsia="hu-HU"/>
              </w:rPr>
              <w:t>154.7 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b/>
                <w:color w:val="000000"/>
                <w:sz w:val="24"/>
                <w:szCs w:val="24"/>
                <w:lang w:eastAsia="hu-HU"/>
              </w:rPr>
              <w:t>176.4 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b/>
                <w:color w:val="000000"/>
                <w:sz w:val="24"/>
                <w:szCs w:val="24"/>
                <w:lang w:eastAsia="hu-HU"/>
              </w:rPr>
              <w:t>193.0 </w:t>
            </w:r>
          </w:p>
        </w:tc>
      </w:tr>
      <w:tr w:rsidR="00111466" w:rsidRPr="005918BA" w:rsidTr="00111466">
        <w:trPr>
          <w:trHeight w:val="31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ind w:firstLineChars="100" w:firstLine="241"/>
              <w:rPr>
                <w:rFonts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b/>
                <w:bCs/>
                <w:color w:val="000000"/>
                <w:sz w:val="24"/>
                <w:szCs w:val="24"/>
                <w:lang w:eastAsia="hu-HU"/>
              </w:rPr>
              <w:t>Slovakia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color w:val="000000"/>
                <w:sz w:val="24"/>
                <w:szCs w:val="24"/>
                <w:lang w:eastAsia="hu-HU"/>
              </w:rPr>
              <w:t>185.6 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b/>
                <w:color w:val="FF0000"/>
                <w:sz w:val="24"/>
                <w:szCs w:val="24"/>
                <w:lang w:eastAsia="hu-HU"/>
              </w:rPr>
              <w:t>157.6 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color w:val="000000"/>
                <w:sz w:val="24"/>
                <w:szCs w:val="24"/>
                <w:lang w:eastAsia="hu-HU"/>
              </w:rPr>
              <w:t>114.3 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color w:val="000000"/>
                <w:sz w:val="24"/>
                <w:szCs w:val="24"/>
                <w:lang w:eastAsia="hu-HU"/>
              </w:rPr>
              <w:t>142.2 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b/>
                <w:color w:val="000000"/>
                <w:sz w:val="24"/>
                <w:szCs w:val="24"/>
                <w:lang w:eastAsia="hu-HU"/>
              </w:rPr>
              <w:t>129.2 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b/>
                <w:color w:val="000000"/>
                <w:sz w:val="24"/>
                <w:szCs w:val="24"/>
                <w:lang w:eastAsia="hu-HU"/>
              </w:rPr>
              <w:t>81.4 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466" w:rsidRPr="005918BA" w:rsidRDefault="00111466" w:rsidP="001B1AB0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hu-HU"/>
              </w:rPr>
            </w:pPr>
            <w:r w:rsidRPr="005918BA">
              <w:rPr>
                <w:rFonts w:cs="Arial"/>
                <w:b/>
                <w:color w:val="000000"/>
                <w:sz w:val="24"/>
                <w:szCs w:val="24"/>
                <w:lang w:eastAsia="hu-HU"/>
              </w:rPr>
              <w:t>147.5 </w:t>
            </w:r>
          </w:p>
        </w:tc>
      </w:tr>
    </w:tbl>
    <w:p w:rsidR="00111466" w:rsidRPr="005918BA" w:rsidRDefault="00111466" w:rsidP="00111466">
      <w:pPr>
        <w:spacing w:line="276" w:lineRule="auto"/>
        <w:rPr>
          <w:rFonts w:eastAsia="Calibri"/>
          <w:b/>
          <w:sz w:val="24"/>
          <w:szCs w:val="24"/>
        </w:rPr>
      </w:pPr>
      <w:r w:rsidRPr="005918BA">
        <w:rPr>
          <w:rFonts w:eastAsia="Calibri"/>
          <w:b/>
          <w:sz w:val="24"/>
          <w:szCs w:val="24"/>
        </w:rPr>
        <w:t>Forrás: Eurostat</w:t>
      </w:r>
    </w:p>
    <w:p w:rsidR="005918BA" w:rsidRPr="005918BA" w:rsidRDefault="005918BA" w:rsidP="00111466">
      <w:pPr>
        <w:spacing w:line="276" w:lineRule="auto"/>
        <w:rPr>
          <w:rFonts w:eastAsia="Calibri"/>
          <w:b/>
          <w:sz w:val="24"/>
          <w:szCs w:val="24"/>
        </w:rPr>
      </w:pPr>
    </w:p>
    <w:p w:rsidR="005918BA" w:rsidRPr="005918BA" w:rsidRDefault="005918BA" w:rsidP="00111466">
      <w:pPr>
        <w:spacing w:line="276" w:lineRule="auto"/>
        <w:rPr>
          <w:rFonts w:eastAsia="Calibri"/>
          <w:b/>
          <w:sz w:val="24"/>
          <w:szCs w:val="24"/>
        </w:rPr>
      </w:pPr>
      <w:r w:rsidRPr="005918BA">
        <w:rPr>
          <w:noProof/>
          <w:sz w:val="24"/>
          <w:szCs w:val="24"/>
          <w:lang w:eastAsia="hu-HU"/>
        </w:rPr>
        <w:drawing>
          <wp:inline distT="0" distB="0" distL="0" distR="0" wp14:anchorId="44CBC00D" wp14:editId="579392DB">
            <wp:extent cx="5760720" cy="4152900"/>
            <wp:effectExtent l="0" t="0" r="11430" b="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18BA" w:rsidRPr="005918BA" w:rsidRDefault="005918BA" w:rsidP="00111466">
      <w:pPr>
        <w:spacing w:line="276" w:lineRule="auto"/>
        <w:rPr>
          <w:rFonts w:eastAsia="Calibri"/>
          <w:b/>
          <w:sz w:val="24"/>
          <w:szCs w:val="24"/>
        </w:rPr>
      </w:pPr>
    </w:p>
    <w:p w:rsidR="005918BA" w:rsidRDefault="005918BA" w:rsidP="00111466">
      <w:pPr>
        <w:spacing w:line="276" w:lineRule="auto"/>
        <w:rPr>
          <w:rFonts w:eastAsia="Calibri"/>
          <w:b/>
          <w:sz w:val="24"/>
          <w:szCs w:val="24"/>
        </w:rPr>
      </w:pPr>
      <w:r w:rsidRPr="005918BA">
        <w:rPr>
          <w:noProof/>
          <w:sz w:val="24"/>
          <w:szCs w:val="24"/>
          <w:lang w:eastAsia="hu-HU"/>
        </w:rPr>
        <w:lastRenderedPageBreak/>
        <w:drawing>
          <wp:inline distT="0" distB="0" distL="0" distR="0" wp14:anchorId="268DF9D7" wp14:editId="2FB66F7E">
            <wp:extent cx="5760720" cy="4610100"/>
            <wp:effectExtent l="0" t="0" r="11430" b="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F4AB4" w:rsidRDefault="00DF4AB4" w:rsidP="00111466">
      <w:pPr>
        <w:spacing w:line="276" w:lineRule="auto"/>
        <w:rPr>
          <w:rFonts w:eastAsia="Calibri"/>
          <w:b/>
          <w:sz w:val="24"/>
          <w:szCs w:val="24"/>
        </w:rPr>
      </w:pPr>
    </w:p>
    <w:p w:rsidR="00DF4AB4" w:rsidRDefault="00DF4AB4" w:rsidP="00111466">
      <w:pPr>
        <w:spacing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Lajtai György</w:t>
      </w:r>
    </w:p>
    <w:p w:rsidR="00DF4AB4" w:rsidRPr="005918BA" w:rsidRDefault="00DF4AB4" w:rsidP="00111466">
      <w:pPr>
        <w:spacing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2016/01/31</w:t>
      </w:r>
      <w:bookmarkStart w:id="0" w:name="_GoBack"/>
      <w:bookmarkEnd w:id="0"/>
    </w:p>
    <w:sectPr w:rsidR="00DF4AB4" w:rsidRPr="005918BA" w:rsidSect="005918BA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13" w:rsidRDefault="00FC4C13" w:rsidP="00C86651">
      <w:pPr>
        <w:spacing w:after="0" w:line="240" w:lineRule="auto"/>
      </w:pPr>
      <w:r>
        <w:separator/>
      </w:r>
    </w:p>
  </w:endnote>
  <w:endnote w:type="continuationSeparator" w:id="0">
    <w:p w:rsidR="00FC4C13" w:rsidRDefault="00FC4C13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13" w:rsidRDefault="00FC4C13" w:rsidP="00C86651">
      <w:pPr>
        <w:spacing w:after="0" w:line="240" w:lineRule="auto"/>
      </w:pPr>
      <w:r>
        <w:separator/>
      </w:r>
    </w:p>
  </w:footnote>
  <w:footnote w:type="continuationSeparator" w:id="0">
    <w:p w:rsidR="00FC4C13" w:rsidRDefault="00FC4C13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B5B"/>
    <w:multiLevelType w:val="hybridMultilevel"/>
    <w:tmpl w:val="9B602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0051"/>
    <w:multiLevelType w:val="hybridMultilevel"/>
    <w:tmpl w:val="8C7E4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370B"/>
    <w:multiLevelType w:val="hybridMultilevel"/>
    <w:tmpl w:val="9F6C7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3535"/>
    <w:multiLevelType w:val="hybridMultilevel"/>
    <w:tmpl w:val="073CD2CE"/>
    <w:lvl w:ilvl="0" w:tplc="040E0019">
      <w:start w:val="1"/>
      <w:numFmt w:val="lowerLetter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BBC12E0"/>
    <w:multiLevelType w:val="hybridMultilevel"/>
    <w:tmpl w:val="81EA7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73238"/>
    <w:multiLevelType w:val="hybridMultilevel"/>
    <w:tmpl w:val="40AC5E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44"/>
    <w:rsid w:val="00016911"/>
    <w:rsid w:val="00050F8B"/>
    <w:rsid w:val="00111466"/>
    <w:rsid w:val="00183A69"/>
    <w:rsid w:val="001A0670"/>
    <w:rsid w:val="001F149B"/>
    <w:rsid w:val="00202BFA"/>
    <w:rsid w:val="00225C95"/>
    <w:rsid w:val="002B4289"/>
    <w:rsid w:val="002D328D"/>
    <w:rsid w:val="003D295D"/>
    <w:rsid w:val="00404793"/>
    <w:rsid w:val="00437156"/>
    <w:rsid w:val="00447523"/>
    <w:rsid w:val="00491741"/>
    <w:rsid w:val="00501CBE"/>
    <w:rsid w:val="005135E3"/>
    <w:rsid w:val="00523788"/>
    <w:rsid w:val="005316BB"/>
    <w:rsid w:val="005340FC"/>
    <w:rsid w:val="00542B73"/>
    <w:rsid w:val="0054336B"/>
    <w:rsid w:val="00543820"/>
    <w:rsid w:val="005918BA"/>
    <w:rsid w:val="005B17BC"/>
    <w:rsid w:val="005F6551"/>
    <w:rsid w:val="00643473"/>
    <w:rsid w:val="007160C7"/>
    <w:rsid w:val="00735A63"/>
    <w:rsid w:val="007571A2"/>
    <w:rsid w:val="00794C64"/>
    <w:rsid w:val="007C2A91"/>
    <w:rsid w:val="007F0726"/>
    <w:rsid w:val="00821444"/>
    <w:rsid w:val="0087440D"/>
    <w:rsid w:val="008D29A6"/>
    <w:rsid w:val="00981E3A"/>
    <w:rsid w:val="00984BF5"/>
    <w:rsid w:val="009931A0"/>
    <w:rsid w:val="00A3060E"/>
    <w:rsid w:val="00A3322E"/>
    <w:rsid w:val="00A40CA6"/>
    <w:rsid w:val="00B24182"/>
    <w:rsid w:val="00B6798D"/>
    <w:rsid w:val="00C328F9"/>
    <w:rsid w:val="00C353C7"/>
    <w:rsid w:val="00C86651"/>
    <w:rsid w:val="00C95379"/>
    <w:rsid w:val="00CA24E2"/>
    <w:rsid w:val="00CD42B1"/>
    <w:rsid w:val="00CE59DE"/>
    <w:rsid w:val="00D16BA4"/>
    <w:rsid w:val="00D23830"/>
    <w:rsid w:val="00D34756"/>
    <w:rsid w:val="00D370B8"/>
    <w:rsid w:val="00D40BFC"/>
    <w:rsid w:val="00D64DED"/>
    <w:rsid w:val="00DC1ABA"/>
    <w:rsid w:val="00DD31E0"/>
    <w:rsid w:val="00DF4641"/>
    <w:rsid w:val="00DF4AB4"/>
    <w:rsid w:val="00E00277"/>
    <w:rsid w:val="00E01BB9"/>
    <w:rsid w:val="00E14029"/>
    <w:rsid w:val="00E216F1"/>
    <w:rsid w:val="00E24CD0"/>
    <w:rsid w:val="00E33542"/>
    <w:rsid w:val="00E54A79"/>
    <w:rsid w:val="00E611C2"/>
    <w:rsid w:val="00E94D0D"/>
    <w:rsid w:val="00E9548E"/>
    <w:rsid w:val="00EB4B76"/>
    <w:rsid w:val="00F568CF"/>
    <w:rsid w:val="00F95CC6"/>
    <w:rsid w:val="00F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35C06-9262-4DAB-AD71-ED853600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29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6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DE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6651"/>
  </w:style>
  <w:style w:type="paragraph" w:styleId="llb">
    <w:name w:val="footer"/>
    <w:basedOn w:val="Norml"/>
    <w:link w:val="llb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kingstone\Munk&#225;stan&#225;cs-2\ad&#243;\2015\b&#233;rt&#225;rgyal&#225;s\t&#225;bl&#225;k-b&#233;rt&#225;rgyal&#225;shoz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G:\kingstone\Munk&#225;stan&#225;cs-2\ad&#243;\2014\gross%20income%20rate-EU-2011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G:\kingstone\Munk&#225;stan&#225;cs-2\ad&#243;\2014\gross%20income%20rate-EU-201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800"/>
              <a:t>Bérek és létminimum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 bérek vásárlő értéke'!$A$6</c:f>
              <c:strCache>
                <c:ptCount val="1"/>
                <c:pt idx="0">
                  <c:v>1 aktív korú felnőtt létminimuma, Ft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értéke'!$B$6:$M$6</c:f>
            </c:numRef>
          </c:val>
        </c:ser>
        <c:ser>
          <c:idx val="1"/>
          <c:order val="1"/>
          <c:tx>
            <c:strRef>
              <c:f>'a bérek vásárlő értéke'!$A$7</c:f>
              <c:strCache>
                <c:ptCount val="1"/>
                <c:pt idx="0">
                  <c:v>Létmin. Index (előző év=100%)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értéke'!$B$7:$M$7</c:f>
            </c:numRef>
          </c:val>
        </c:ser>
        <c:ser>
          <c:idx val="2"/>
          <c:order val="2"/>
          <c:tx>
            <c:strRef>
              <c:f>'a bérek vásárlő értéke'!$A$8</c:f>
              <c:strCache>
                <c:ptCount val="1"/>
                <c:pt idx="0">
                  <c:v>Létminimum növekedés, Ft/év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értéke'!$B$8:$M$8</c:f>
            </c:numRef>
          </c:val>
        </c:ser>
        <c:ser>
          <c:idx val="3"/>
          <c:order val="3"/>
          <c:tx>
            <c:strRef>
              <c:f>'a bérek vásárlő értéke'!$A$9</c:f>
              <c:strCache>
                <c:ptCount val="1"/>
                <c:pt idx="0">
                  <c:v>Fogy. Árindex  (előző év=100%)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értéke'!$B$9:$M$9</c:f>
            </c:numRef>
          </c:val>
        </c:ser>
        <c:ser>
          <c:idx val="4"/>
          <c:order val="4"/>
          <c:tx>
            <c:strRef>
              <c:f>'a bérek vásárlő értéke'!$A$10</c:f>
              <c:strCache>
                <c:ptCount val="1"/>
                <c:pt idx="0">
                  <c:v>Bruttó fizikai átlagbér a vesenyszférában, Ft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értéke'!$B$10:$M$10</c:f>
            </c:numRef>
          </c:val>
        </c:ser>
        <c:ser>
          <c:idx val="5"/>
          <c:order val="5"/>
          <c:tx>
            <c:strRef>
              <c:f>'a bérek vásárlő értéke'!$A$11</c:f>
              <c:strCache>
                <c:ptCount val="1"/>
                <c:pt idx="0">
                  <c:v>Bruttó fizikai átlagbér index a vesenyszférában  (előző év=100%)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értéke'!$B$11:$M$11</c:f>
            </c:numRef>
          </c:val>
        </c:ser>
        <c:ser>
          <c:idx val="6"/>
          <c:order val="6"/>
          <c:tx>
            <c:strRef>
              <c:f>'a bérek vásárlő értéke'!$A$12</c:f>
              <c:strCache>
                <c:ptCount val="1"/>
                <c:pt idx="0">
                  <c:v>Nettó minimálbér, Ft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értéke'!$B$12:$M$12</c:f>
            </c:numRef>
          </c:val>
        </c:ser>
        <c:ser>
          <c:idx val="7"/>
          <c:order val="7"/>
          <c:tx>
            <c:strRef>
              <c:f>'a bérek vásárlő értéke'!$A$13</c:f>
              <c:strCache>
                <c:ptCount val="1"/>
                <c:pt idx="0">
                  <c:v>Bruttó fizikai átlagbér nettó értéke, Ft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értéke'!$B$13:$M$13</c:f>
            </c:numRef>
          </c:val>
        </c:ser>
        <c:ser>
          <c:idx val="8"/>
          <c:order val="8"/>
          <c:tx>
            <c:strRef>
              <c:f>'a bérek vásárlő értéke'!$A$14</c:f>
              <c:strCache>
                <c:ptCount val="1"/>
                <c:pt idx="0">
                  <c:v>Nettó fizikai átlagbér index a vesenyszférában (előző év=100%)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értéke'!$B$14:$M$14</c:f>
            </c:numRef>
          </c:val>
        </c:ser>
        <c:ser>
          <c:idx val="9"/>
          <c:order val="9"/>
          <c:tx>
            <c:strRef>
              <c:f>'a bérek vásárlő értéke'!$A$15</c:f>
              <c:strCache>
                <c:ptCount val="1"/>
                <c:pt idx="0">
                  <c:v>Bruttó minimálbér, Ft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értéke'!$B$15:$M$15</c:f>
            </c:numRef>
          </c:val>
        </c:ser>
        <c:ser>
          <c:idx val="10"/>
          <c:order val="10"/>
          <c:tx>
            <c:strRef>
              <c:f>'a bérek vásárlő értéke'!$A$16</c:f>
              <c:strCache>
                <c:ptCount val="1"/>
                <c:pt idx="0">
                  <c:v>Bruttó minimálbér index (előző év=100%)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értéke'!$B$16:$M$16</c:f>
            </c:numRef>
          </c:val>
        </c:ser>
        <c:ser>
          <c:idx val="11"/>
          <c:order val="11"/>
          <c:tx>
            <c:strRef>
              <c:f>'a bérek vásárlő értéke'!$A$17</c:f>
              <c:strCache>
                <c:ptCount val="1"/>
                <c:pt idx="0">
                  <c:v>Nettó minimálbér index (előző év=100%)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értéke'!$B$17:$M$17</c:f>
            </c:numRef>
          </c:val>
        </c:ser>
        <c:ser>
          <c:idx val="12"/>
          <c:order val="12"/>
          <c:tx>
            <c:strRef>
              <c:f>'a bérek vásárlő értéke'!$A$18</c:f>
              <c:strCache>
                <c:ptCount val="1"/>
                <c:pt idx="0">
                  <c:v>Közmunkabér 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értéke'!$B$18:$M$18</c:f>
            </c:numRef>
          </c:val>
        </c:ser>
        <c:ser>
          <c:idx val="13"/>
          <c:order val="13"/>
          <c:tx>
            <c:strRef>
              <c:f>'a bérek vásárlő értéke'!$A$19</c:f>
              <c:strCache>
                <c:ptCount val="1"/>
                <c:pt idx="0">
                  <c:v>Nettó min bér/létminimum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értéke'!$B$19:$M$19</c:f>
            </c:numRef>
          </c:val>
        </c:ser>
        <c:ser>
          <c:idx val="14"/>
          <c:order val="14"/>
          <c:tx>
            <c:strRef>
              <c:f>'a bérek vásárlő értéke'!$A$20</c:f>
              <c:strCache>
                <c:ptCount val="1"/>
                <c:pt idx="0">
                  <c:v>Nettó fizikai átlagkereset/létinimum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értéke'!$B$20:$M$20</c:f>
            </c:numRef>
          </c:val>
        </c:ser>
        <c:ser>
          <c:idx val="15"/>
          <c:order val="15"/>
          <c:tx>
            <c:strRef>
              <c:f>'a bérek vásárlő értéke'!$A$21</c:f>
              <c:strCache>
                <c:ptCount val="1"/>
                <c:pt idx="0">
                  <c:v>A fizikai átlagbér reál indexe(előző év=100%)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értéke'!$B$21:$M$21</c:f>
            </c:numRef>
          </c:val>
        </c:ser>
        <c:ser>
          <c:idx val="16"/>
          <c:order val="16"/>
          <c:tx>
            <c:strRef>
              <c:f>'a bérek vásárlő értéke'!$A$22</c:f>
              <c:strCache>
                <c:ptCount val="1"/>
                <c:pt idx="0">
                  <c:v>A minimálbér reál indexe (előző év=100%)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értéke'!$B$22:$M$22</c:f>
            </c:numRef>
          </c:val>
        </c:ser>
        <c:ser>
          <c:idx val="17"/>
          <c:order val="17"/>
          <c:tx>
            <c:strRef>
              <c:f>'a bérek vásárlő értéke'!$A$23</c:f>
              <c:strCache>
                <c:ptCount val="1"/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értéke'!$B$23:$M$23</c:f>
            </c:numRef>
          </c:val>
        </c:ser>
        <c:ser>
          <c:idx val="18"/>
          <c:order val="18"/>
          <c:tx>
            <c:strRef>
              <c:f>'a bérek vásárlő értéke'!$A$24</c:f>
              <c:strCache>
                <c:ptCount val="1"/>
                <c:pt idx="0">
                  <c:v>Családi létminimum, 2 felnőtt 2 gyermekkel, Ft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értéke'!$B$24:$M$24</c:f>
            </c:numRef>
          </c:val>
        </c:ser>
        <c:ser>
          <c:idx val="19"/>
          <c:order val="19"/>
          <c:tx>
            <c:strRef>
              <c:f>'a bérek vásárlő értéke'!$A$25</c:f>
              <c:strCache>
                <c:ptCount val="1"/>
                <c:pt idx="0">
                  <c:v>3 gyerekes családi létminimum, Ft növekedés/év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értéke'!$B$25:$M$25</c:f>
            </c:numRef>
          </c:val>
        </c:ser>
        <c:ser>
          <c:idx val="20"/>
          <c:order val="20"/>
          <c:tx>
            <c:strRef>
              <c:f>'a bérek vásárlő értéke'!$A$26</c:f>
              <c:strCache>
                <c:ptCount val="1"/>
                <c:pt idx="0">
                  <c:v>Családi létminimum, 2 felnőtt 3 gyermekkel, Ft</c:v>
                </c:pt>
              </c:strCache>
            </c:strRef>
          </c:tx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értéke'!$B$26:$M$26</c:f>
            </c:numRef>
          </c:val>
        </c:ser>
        <c:ser>
          <c:idx val="21"/>
          <c:order val="21"/>
          <c:tx>
            <c:strRef>
              <c:f>'a bérek vásárlő értéke'!$A$27</c:f>
              <c:strCache>
                <c:ptCount val="1"/>
                <c:pt idx="0">
                  <c:v>3 gyerekes családi létminimum, Ft növekedés/év</c:v>
                </c:pt>
              </c:strCache>
            </c:strRef>
          </c:tx>
          <c:spPr>
            <a:solidFill>
              <a:schemeClr val="accent4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értéke'!$B$27:$M$27</c:f>
            </c:numRef>
          </c:val>
        </c:ser>
        <c:ser>
          <c:idx val="22"/>
          <c:order val="22"/>
          <c:tx>
            <c:strRef>
              <c:f>'a bérek vásárlő értéke'!$A$28</c:f>
              <c:strCache>
                <c:ptCount val="1"/>
                <c:pt idx="0">
                  <c:v>Családi pótlék 2 kereső 2 gyerek, Ft</c:v>
                </c:pt>
              </c:strCache>
            </c:strRef>
          </c:tx>
          <c:spPr>
            <a:solidFill>
              <a:schemeClr val="accent5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értéke'!$B$28:$M$28</c:f>
            </c:numRef>
          </c:val>
        </c:ser>
        <c:ser>
          <c:idx val="23"/>
          <c:order val="23"/>
          <c:tx>
            <c:strRef>
              <c:f>'a bérek vásárlő értéke'!$A$29</c:f>
              <c:strCache>
                <c:ptCount val="1"/>
                <c:pt idx="0">
                  <c:v>Családi pótlék 2 kereső 3 gyerek, Ft</c:v>
                </c:pt>
              </c:strCache>
            </c:strRef>
          </c:tx>
          <c:spPr>
            <a:solidFill>
              <a:schemeClr val="accent6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értéke'!$B$29:$M$29</c:f>
            </c:numRef>
          </c:val>
        </c:ser>
        <c:ser>
          <c:idx val="24"/>
          <c:order val="24"/>
          <c:tx>
            <c:strRef>
              <c:f>'a bérek vásárlő értéke'!$A$30</c:f>
              <c:strCache>
                <c:ptCount val="1"/>
                <c:pt idx="0">
                  <c:v>2 keresős 2 gyerekes minimálbéres családi nettó jövedelem adókedvezménnyel és családi pótlékkal, Ft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értéke'!$B$30:$M$30</c:f>
            </c:numRef>
          </c:val>
        </c:ser>
        <c:ser>
          <c:idx val="25"/>
          <c:order val="25"/>
          <c:tx>
            <c:strRef>
              <c:f>'a bérek vásárlő értéke'!$A$31</c:f>
              <c:strCache>
                <c:ptCount val="1"/>
                <c:pt idx="0">
                  <c:v>2 keresős 2 gyerekes  fizikai átlagbéres családi nettó jövedelem adókedvezménnyel és családi pótlékkal, Ft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értéke'!$B$31:$M$31</c:f>
            </c:numRef>
          </c:val>
        </c:ser>
        <c:ser>
          <c:idx val="26"/>
          <c:order val="26"/>
          <c:tx>
            <c:strRef>
              <c:f>'a bérek vásárlő értéke'!$A$32</c:f>
              <c:strCache>
                <c:ptCount val="1"/>
                <c:pt idx="0">
                  <c:v>2 keresős 3 gyerekes  minimálbéres családi nettó jövedelem adókedvezménnyel és családi pótlékkal, Ft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értéke'!$B$32:$M$32</c:f>
            </c:numRef>
          </c:val>
        </c:ser>
        <c:ser>
          <c:idx val="27"/>
          <c:order val="27"/>
          <c:tx>
            <c:strRef>
              <c:f>'a bérek vásárlő értéke'!$A$33</c:f>
              <c:strCache>
                <c:ptCount val="1"/>
                <c:pt idx="0">
                  <c:v>2 keresős 3 gyerekes fizikai átlagbéres családi nettó jövedelem adókedvezménnyel és családi pótlékkal, Ft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értéke'!$B$33:$M$33</c:f>
            </c:numRef>
          </c:val>
        </c:ser>
        <c:ser>
          <c:idx val="28"/>
          <c:order val="28"/>
          <c:tx>
            <c:strRef>
              <c:f>'a bérek vásárlő értéke'!$A$34</c:f>
              <c:strCache>
                <c:ptCount val="1"/>
                <c:pt idx="0">
                  <c:v>2 keresős 2 gyerekes  minimálbéres családi nettó jövedelem aránya a családi létminimumhoz képest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értéke'!$B$34:$M$34</c:f>
            </c:numRef>
          </c:val>
        </c:ser>
        <c:ser>
          <c:idx val="29"/>
          <c:order val="29"/>
          <c:tx>
            <c:strRef>
              <c:f>'a bérek vásárlő értéke'!$A$35</c:f>
              <c:strCache>
                <c:ptCount val="1"/>
                <c:pt idx="0">
                  <c:v>2 keresős 3 gyerekes  minimálbéres családi nettó jövedelem aránya a családi létminimumhoz képest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értéke'!$B$35:$M$35</c:f>
            </c:numRef>
          </c:val>
        </c:ser>
        <c:ser>
          <c:idx val="30"/>
          <c:order val="30"/>
          <c:tx>
            <c:strRef>
              <c:f>'a bérek vásárlő értéke'!$A$36</c:f>
              <c:strCache>
                <c:ptCount val="1"/>
                <c:pt idx="0">
                  <c:v>2 keresős 2 gyerekes fizikai átlegbéres családi nettó jövedelem aránya a családi létminimumhoz képest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értéke'!$B$36:$M$36</c:f>
            </c:numRef>
          </c:val>
        </c:ser>
        <c:ser>
          <c:idx val="31"/>
          <c:order val="31"/>
          <c:tx>
            <c:strRef>
              <c:f>'a bérek vásárlő értéke'!$A$37</c:f>
              <c:strCache>
                <c:ptCount val="1"/>
                <c:pt idx="0">
                  <c:v>2 keresős 3 gyerekes fizikai átlagbéres családi nettó jövedelem aránya a családi létminimumhoz képest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értéke'!$B$37:$M$37</c:f>
            </c:numRef>
          </c:val>
        </c:ser>
        <c:ser>
          <c:idx val="32"/>
          <c:order val="32"/>
          <c:tx>
            <c:strRef>
              <c:f>'a bérek vásárlő értéke'!$A$38</c:f>
              <c:strCache>
                <c:ptCount val="1"/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értéke'!$B$38:$M$38</c:f>
            </c:numRef>
          </c:val>
        </c:ser>
        <c:ser>
          <c:idx val="33"/>
          <c:order val="33"/>
          <c:tx>
            <c:strRef>
              <c:f>'a bérek vásárlő értéke'!$A$39</c:f>
              <c:strCache>
                <c:ptCount val="1"/>
                <c:pt idx="0">
                  <c:v>Nettó minimálbér/létminimum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értéke'!$B$39:$M$39</c:f>
              <c:numCache>
                <c:formatCode>0.0%</c:formatCode>
                <c:ptCount val="4"/>
                <c:pt idx="0">
                  <c:v>0.76503759398496241</c:v>
                </c:pt>
                <c:pt idx="1">
                  <c:v>0.70465116279069773</c:v>
                </c:pt>
                <c:pt idx="2">
                  <c:v>0.7592407592407594</c:v>
                </c:pt>
                <c:pt idx="3">
                  <c:v>0.7774969019664919</c:v>
                </c:pt>
              </c:numCache>
            </c:numRef>
          </c:val>
        </c:ser>
        <c:ser>
          <c:idx val="34"/>
          <c:order val="34"/>
          <c:tx>
            <c:strRef>
              <c:f>'a bérek vásárlő értéke'!$A$40</c:f>
              <c:strCache>
                <c:ptCount val="1"/>
                <c:pt idx="0">
                  <c:v>Nettó fizikai átlagbér/létminimum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értéke'!$B$40:$M$40</c:f>
              <c:numCache>
                <c:formatCode>0.0%</c:formatCode>
                <c:ptCount val="4"/>
                <c:pt idx="0">
                  <c:v>1.2851046535257062</c:v>
                </c:pt>
                <c:pt idx="1">
                  <c:v>1.2212674418604652</c:v>
                </c:pt>
                <c:pt idx="2">
                  <c:v>1.2959840159840161</c:v>
                </c:pt>
                <c:pt idx="3">
                  <c:v>1.3344731647419061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4887632"/>
        <c:axId val="514889200"/>
      </c:barChart>
      <c:catAx>
        <c:axId val="51488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14889200"/>
        <c:crosses val="autoZero"/>
        <c:auto val="1"/>
        <c:lblAlgn val="ctr"/>
        <c:lblOffset val="100"/>
        <c:noMultiLvlLbl val="0"/>
      </c:catAx>
      <c:valAx>
        <c:axId val="51488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1488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800" b="1" i="0" baseline="0">
                <a:effectLst/>
              </a:rPr>
              <a:t>Bértermelékenység a feldolgozó ipari ágazatban, 2011</a:t>
            </a:r>
            <a:endParaRPr lang="hu-H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7287417386079752E-2"/>
          <c:y val="0.17671846091213894"/>
          <c:w val="0.79819624956518986"/>
          <c:h val="0.57126562808364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'Comb (6)'!$Y$5:$Y$35</c:f>
              <c:strCache>
                <c:ptCount val="31"/>
                <c:pt idx="0">
                  <c:v>149</c:v>
                </c:pt>
                <c:pt idx="1">
                  <c:v>149</c:v>
                </c:pt>
                <c:pt idx="2">
                  <c:v>:</c:v>
                </c:pt>
                <c:pt idx="3">
                  <c:v>:</c:v>
                </c:pt>
                <c:pt idx="4">
                  <c:v>151.4</c:v>
                </c:pt>
                <c:pt idx="5">
                  <c:v>199.9</c:v>
                </c:pt>
                <c:pt idx="6">
                  <c:v>160.9</c:v>
                </c:pt>
                <c:pt idx="7">
                  <c:v>154.3</c:v>
                </c:pt>
                <c:pt idx="8">
                  <c:v>141</c:v>
                </c:pt>
                <c:pt idx="9">
                  <c:v>178.8</c:v>
                </c:pt>
                <c:pt idx="10">
                  <c:v>401.9</c:v>
                </c:pt>
                <c:pt idx="11">
                  <c:v>143.1</c:v>
                </c:pt>
                <c:pt idx="12">
                  <c:v>147.2</c:v>
                </c:pt>
                <c:pt idx="13">
                  <c:v>127.3</c:v>
                </c:pt>
                <c:pt idx="14">
                  <c:v>149.7</c:v>
                </c:pt>
                <c:pt idx="15">
                  <c:v>133.6</c:v>
                </c:pt>
                <c:pt idx="16">
                  <c:v>138.3</c:v>
                </c:pt>
                <c:pt idx="17">
                  <c:v>190</c:v>
                </c:pt>
                <c:pt idx="18">
                  <c:v>188.4</c:v>
                </c:pt>
                <c:pt idx="19">
                  <c:v>134.8</c:v>
                </c:pt>
                <c:pt idx="20">
                  <c:v>215.6</c:v>
                </c:pt>
                <c:pt idx="21">
                  <c:v>:</c:v>
                </c:pt>
                <c:pt idx="22">
                  <c:v>164.6</c:v>
                </c:pt>
                <c:pt idx="23">
                  <c:v>158.6</c:v>
                </c:pt>
                <c:pt idx="24">
                  <c:v>199.9</c:v>
                </c:pt>
                <c:pt idx="25">
                  <c:v>147.1</c:v>
                </c:pt>
                <c:pt idx="26">
                  <c:v>185.4</c:v>
                </c:pt>
                <c:pt idx="27">
                  <c:v>149.6</c:v>
                </c:pt>
                <c:pt idx="28">
                  <c:v>157.3</c:v>
                </c:pt>
                <c:pt idx="29">
                  <c:v>144.6</c:v>
                </c:pt>
                <c:pt idx="30">
                  <c:v>132.9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'Comb (6)'!$X$5:$X$35</c:f>
              <c:strCache>
                <c:ptCount val="10"/>
                <c:pt idx="0">
                  <c:v>EU (28 countries)</c:v>
                </c:pt>
                <c:pt idx="1">
                  <c:v>Czech Republic</c:v>
                </c:pt>
                <c:pt idx="2">
                  <c:v>Germany</c:v>
                </c:pt>
                <c:pt idx="3">
                  <c:v>Hungary</c:v>
                </c:pt>
                <c:pt idx="4">
                  <c:v>Austria</c:v>
                </c:pt>
                <c:pt idx="5">
                  <c:v>Poland</c:v>
                </c:pt>
                <c:pt idx="6">
                  <c:v>Romania</c:v>
                </c:pt>
                <c:pt idx="7">
                  <c:v>Slovakia</c:v>
                </c:pt>
                <c:pt idx="8">
                  <c:v>Finland</c:v>
                </c:pt>
                <c:pt idx="9">
                  <c:v>Sweden</c:v>
                </c:pt>
              </c:strCache>
            </c:strRef>
          </c:cat>
          <c:val>
            <c:numRef>
              <c:f>'Comb (6)'!$Y$5:$Y$35</c:f>
              <c:numCache>
                <c:formatCode>General</c:formatCode>
                <c:ptCount val="10"/>
                <c:pt idx="0">
                  <c:v>149</c:v>
                </c:pt>
                <c:pt idx="1">
                  <c:v>160.9</c:v>
                </c:pt>
                <c:pt idx="2">
                  <c:v>141</c:v>
                </c:pt>
                <c:pt idx="3">
                  <c:v>215.6</c:v>
                </c:pt>
                <c:pt idx="4">
                  <c:v>158.6</c:v>
                </c:pt>
                <c:pt idx="5">
                  <c:v>199.9</c:v>
                </c:pt>
                <c:pt idx="6">
                  <c:v>185.4</c:v>
                </c:pt>
                <c:pt idx="7">
                  <c:v>157.30000000000001</c:v>
                </c:pt>
                <c:pt idx="8">
                  <c:v>144.6</c:v>
                </c:pt>
                <c:pt idx="9">
                  <c:v>132.9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0018432"/>
        <c:axId val="600016864"/>
      </c:barChart>
      <c:catAx>
        <c:axId val="60001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00016864"/>
        <c:crosses val="autoZero"/>
        <c:auto val="1"/>
        <c:lblAlgn val="ctr"/>
        <c:lblOffset val="100"/>
        <c:noMultiLvlLbl val="0"/>
      </c:catAx>
      <c:valAx>
        <c:axId val="60001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000184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600" b="1" i="0" u="none" strike="noStrike" baseline="0">
                <a:effectLst/>
              </a:rPr>
              <a:t>Bértermelékenység </a:t>
            </a:r>
            <a:r>
              <a:rPr lang="hu-HU" sz="1600" b="1" i="0" u="sng" strike="noStrike" baseline="0">
                <a:effectLst/>
              </a:rPr>
              <a:t>és jövedelmezőség </a:t>
            </a:r>
            <a:r>
              <a:rPr lang="hu-HU" sz="1600" b="1" i="0" baseline="0">
                <a:effectLst/>
              </a:rPr>
              <a:t>a feldolgozó ipari ágazatban, 2011</a:t>
            </a:r>
            <a:endParaRPr lang="hu-HU" sz="16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7287417386079752E-2"/>
          <c:y val="0.17671846091213894"/>
          <c:w val="0.76480665611243037"/>
          <c:h val="0.547123763375731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'Comb (6)'!$Y$5:$Y$35</c:f>
              <c:strCache>
                <c:ptCount val="31"/>
                <c:pt idx="0">
                  <c:v>149</c:v>
                </c:pt>
                <c:pt idx="1">
                  <c:v>149</c:v>
                </c:pt>
                <c:pt idx="2">
                  <c:v>:</c:v>
                </c:pt>
                <c:pt idx="3">
                  <c:v>:</c:v>
                </c:pt>
                <c:pt idx="4">
                  <c:v>151.4</c:v>
                </c:pt>
                <c:pt idx="5">
                  <c:v>199.9</c:v>
                </c:pt>
                <c:pt idx="6">
                  <c:v>160.9</c:v>
                </c:pt>
                <c:pt idx="7">
                  <c:v>154.3</c:v>
                </c:pt>
                <c:pt idx="8">
                  <c:v>141</c:v>
                </c:pt>
                <c:pt idx="9">
                  <c:v>178.8</c:v>
                </c:pt>
                <c:pt idx="10">
                  <c:v>401.9</c:v>
                </c:pt>
                <c:pt idx="11">
                  <c:v>143.1</c:v>
                </c:pt>
                <c:pt idx="12">
                  <c:v>147.2</c:v>
                </c:pt>
                <c:pt idx="13">
                  <c:v>127.3</c:v>
                </c:pt>
                <c:pt idx="14">
                  <c:v>149.7</c:v>
                </c:pt>
                <c:pt idx="15">
                  <c:v>133.6</c:v>
                </c:pt>
                <c:pt idx="16">
                  <c:v>138.3</c:v>
                </c:pt>
                <c:pt idx="17">
                  <c:v>190</c:v>
                </c:pt>
                <c:pt idx="18">
                  <c:v>188.4</c:v>
                </c:pt>
                <c:pt idx="19">
                  <c:v>134.8</c:v>
                </c:pt>
                <c:pt idx="20">
                  <c:v>215.6</c:v>
                </c:pt>
                <c:pt idx="21">
                  <c:v>:</c:v>
                </c:pt>
                <c:pt idx="22">
                  <c:v>164.6</c:v>
                </c:pt>
                <c:pt idx="23">
                  <c:v>158.6</c:v>
                </c:pt>
                <c:pt idx="24">
                  <c:v>199.9</c:v>
                </c:pt>
                <c:pt idx="25">
                  <c:v>147.1</c:v>
                </c:pt>
                <c:pt idx="26">
                  <c:v>185.4</c:v>
                </c:pt>
                <c:pt idx="27">
                  <c:v>149.6</c:v>
                </c:pt>
                <c:pt idx="28">
                  <c:v>157.3</c:v>
                </c:pt>
                <c:pt idx="29">
                  <c:v>144.6</c:v>
                </c:pt>
                <c:pt idx="30">
                  <c:v>132.9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'Comb (6)'!$X$5:$X$35</c:f>
              <c:strCache>
                <c:ptCount val="10"/>
                <c:pt idx="0">
                  <c:v>EU (28 countries)</c:v>
                </c:pt>
                <c:pt idx="1">
                  <c:v>Czech Republic</c:v>
                </c:pt>
                <c:pt idx="2">
                  <c:v>Germany</c:v>
                </c:pt>
                <c:pt idx="3">
                  <c:v>Hungary</c:v>
                </c:pt>
                <c:pt idx="4">
                  <c:v>Austria</c:v>
                </c:pt>
                <c:pt idx="5">
                  <c:v>Poland</c:v>
                </c:pt>
                <c:pt idx="6">
                  <c:v>Romania</c:v>
                </c:pt>
                <c:pt idx="7">
                  <c:v>Slovakia</c:v>
                </c:pt>
                <c:pt idx="8">
                  <c:v>Finland</c:v>
                </c:pt>
                <c:pt idx="9">
                  <c:v>Sweden</c:v>
                </c:pt>
              </c:strCache>
            </c:strRef>
          </c:cat>
          <c:val>
            <c:numRef>
              <c:f>'Comb (6)'!$Y$5:$Y$35</c:f>
              <c:numCache>
                <c:formatCode>General</c:formatCode>
                <c:ptCount val="10"/>
                <c:pt idx="0">
                  <c:v>149</c:v>
                </c:pt>
                <c:pt idx="1">
                  <c:v>160.9</c:v>
                </c:pt>
                <c:pt idx="2">
                  <c:v>141</c:v>
                </c:pt>
                <c:pt idx="3">
                  <c:v>215.6</c:v>
                </c:pt>
                <c:pt idx="4">
                  <c:v>158.6</c:v>
                </c:pt>
                <c:pt idx="5">
                  <c:v>199.9</c:v>
                </c:pt>
                <c:pt idx="6">
                  <c:v>185.4</c:v>
                </c:pt>
                <c:pt idx="7">
                  <c:v>157.30000000000001</c:v>
                </c:pt>
                <c:pt idx="8">
                  <c:v>144.6</c:v>
                </c:pt>
                <c:pt idx="9">
                  <c:v>132.9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3366592"/>
        <c:axId val="513363064"/>
      </c:barChart>
      <c:scatterChart>
        <c:scatterStyle val="lineMarker"/>
        <c:varyColors val="0"/>
        <c:ser>
          <c:idx val="1"/>
          <c:order val="1"/>
          <c:tx>
            <c:strRef>
              <c:f>'Comb (6)'!$Z$5:$Z$35</c:f>
              <c:strCache>
                <c:ptCount val="31"/>
                <c:pt idx="0">
                  <c:v>8.7</c:v>
                </c:pt>
                <c:pt idx="1">
                  <c:v>8.7</c:v>
                </c:pt>
                <c:pt idx="2">
                  <c:v>:</c:v>
                </c:pt>
                <c:pt idx="3">
                  <c:v>:</c:v>
                </c:pt>
                <c:pt idx="4">
                  <c:v>6.6</c:v>
                </c:pt>
                <c:pt idx="5">
                  <c:v>9.5</c:v>
                </c:pt>
                <c:pt idx="6">
                  <c:v>9.7</c:v>
                </c:pt>
                <c:pt idx="7">
                  <c:v>10.7</c:v>
                </c:pt>
                <c:pt idx="8">
                  <c:v>7.7</c:v>
                </c:pt>
                <c:pt idx="9">
                  <c:v>10.2</c:v>
                </c:pt>
                <c:pt idx="10">
                  <c:v>24.2</c:v>
                </c:pt>
                <c:pt idx="11">
                  <c:v>10.8</c:v>
                </c:pt>
                <c:pt idx="12">
                  <c:v>7.9</c:v>
                </c:pt>
                <c:pt idx="13">
                  <c:v>5.1</c:v>
                </c:pt>
                <c:pt idx="14">
                  <c:v>10</c:v>
                </c:pt>
                <c:pt idx="15">
                  <c:v>8.1</c:v>
                </c:pt>
                <c:pt idx="16">
                  <c:v>9.5</c:v>
                </c:pt>
                <c:pt idx="17">
                  <c:v>11.4</c:v>
                </c:pt>
                <c:pt idx="18">
                  <c:v>7.7</c:v>
                </c:pt>
                <c:pt idx="19">
                  <c:v>4.6</c:v>
                </c:pt>
                <c:pt idx="20">
                  <c:v>10.9</c:v>
                </c:pt>
                <c:pt idx="21">
                  <c:v>:</c:v>
                </c:pt>
                <c:pt idx="22">
                  <c:v>8.3</c:v>
                </c:pt>
                <c:pt idx="23">
                  <c:v>10.8</c:v>
                </c:pt>
                <c:pt idx="24">
                  <c:v>11.1</c:v>
                </c:pt>
                <c:pt idx="25">
                  <c:v>7.5</c:v>
                </c:pt>
                <c:pt idx="26">
                  <c:v>9.9</c:v>
                </c:pt>
                <c:pt idx="27">
                  <c:v>9.5</c:v>
                </c:pt>
                <c:pt idx="28">
                  <c:v>7.8</c:v>
                </c:pt>
                <c:pt idx="29">
                  <c:v>6.4</c:v>
                </c:pt>
                <c:pt idx="30">
                  <c:v>8.8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strRef>
              <c:f>'Comb (6)'!$X$5:$X$35</c:f>
              <c:strCache>
                <c:ptCount val="10"/>
                <c:pt idx="0">
                  <c:v>EU (28 countries)</c:v>
                </c:pt>
                <c:pt idx="1">
                  <c:v>Czech Republic</c:v>
                </c:pt>
                <c:pt idx="2">
                  <c:v>Germany</c:v>
                </c:pt>
                <c:pt idx="3">
                  <c:v>Hungary</c:v>
                </c:pt>
                <c:pt idx="4">
                  <c:v>Austria</c:v>
                </c:pt>
                <c:pt idx="5">
                  <c:v>Poland</c:v>
                </c:pt>
                <c:pt idx="6">
                  <c:v>Romania</c:v>
                </c:pt>
                <c:pt idx="7">
                  <c:v>Slovakia</c:v>
                </c:pt>
                <c:pt idx="8">
                  <c:v>Finland</c:v>
                </c:pt>
                <c:pt idx="9">
                  <c:v>Sweden</c:v>
                </c:pt>
              </c:strCache>
            </c:strRef>
          </c:xVal>
          <c:yVal>
            <c:numRef>
              <c:f>'Comb (6)'!$Z$5:$Z$35</c:f>
              <c:numCache>
                <c:formatCode>General</c:formatCode>
                <c:ptCount val="10"/>
                <c:pt idx="0">
                  <c:v>8.6999999999999993</c:v>
                </c:pt>
                <c:pt idx="1">
                  <c:v>9.6999999999999993</c:v>
                </c:pt>
                <c:pt idx="2">
                  <c:v>7.7</c:v>
                </c:pt>
                <c:pt idx="3">
                  <c:v>10.9</c:v>
                </c:pt>
                <c:pt idx="4">
                  <c:v>10.8</c:v>
                </c:pt>
                <c:pt idx="5">
                  <c:v>11.1</c:v>
                </c:pt>
                <c:pt idx="6">
                  <c:v>9.9</c:v>
                </c:pt>
                <c:pt idx="7">
                  <c:v>7.8</c:v>
                </c:pt>
                <c:pt idx="8">
                  <c:v>6.4</c:v>
                </c:pt>
                <c:pt idx="9">
                  <c:v>8.8000000000000007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3363456"/>
        <c:axId val="513363848"/>
      </c:scatterChart>
      <c:catAx>
        <c:axId val="51336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13363064"/>
        <c:crosses val="autoZero"/>
        <c:auto val="1"/>
        <c:lblAlgn val="ctr"/>
        <c:lblOffset val="100"/>
        <c:noMultiLvlLbl val="0"/>
      </c:catAx>
      <c:valAx>
        <c:axId val="513363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13366592"/>
        <c:crosses val="autoZero"/>
        <c:crossBetween val="between"/>
      </c:valAx>
      <c:valAx>
        <c:axId val="513363456"/>
        <c:scaling>
          <c:orientation val="minMax"/>
        </c:scaling>
        <c:delete val="1"/>
        <c:axPos val="t"/>
        <c:majorTickMark val="out"/>
        <c:minorTickMark val="none"/>
        <c:tickLblPos val="nextTo"/>
        <c:crossAx val="513363848"/>
        <c:crosses val="max"/>
        <c:crossBetween val="midCat"/>
      </c:valAx>
      <c:valAx>
        <c:axId val="51336384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13363456"/>
        <c:crosses val="max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0.09064</cdr:x>
      <cdr:y>0.36062</cdr:y>
    </cdr:from>
    <cdr:to>
      <cdr:x>1</cdr:x>
      <cdr:y>0.38726</cdr:y>
    </cdr:to>
    <cdr:sp macro="" textlink="">
      <cdr:nvSpPr>
        <cdr:cNvPr id="2" name="Jobbra nyíl 1"/>
        <cdr:cNvSpPr/>
      </cdr:nvSpPr>
      <cdr:spPr>
        <a:xfrm xmlns:a="http://schemas.openxmlformats.org/drawingml/2006/main">
          <a:off x="481369" y="1321521"/>
          <a:ext cx="4829135" cy="97628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hu-H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0.05924</cdr:x>
      <cdr:y>0.83011</cdr:y>
    </cdr:from>
    <cdr:to>
      <cdr:x>0.22694</cdr:x>
      <cdr:y>0.99785</cdr:y>
    </cdr:to>
    <cdr:sp macro="" textlink="">
      <cdr:nvSpPr>
        <cdr:cNvPr id="2" name="Szövegdoboz 1"/>
        <cdr:cNvSpPr txBox="1"/>
      </cdr:nvSpPr>
      <cdr:spPr>
        <a:xfrm xmlns:a="http://schemas.openxmlformats.org/drawingml/2006/main">
          <a:off x="341265" y="3676650"/>
          <a:ext cx="966073" cy="742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hu-HU" sz="11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hu-HU" sz="11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hu-H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0.05924</cdr:x>
      <cdr:y>0.7924</cdr:y>
    </cdr:from>
    <cdr:to>
      <cdr:x>0.22694</cdr:x>
      <cdr:y>0.97571</cdr:y>
    </cdr:to>
    <cdr:sp macro="" textlink="">
      <cdr:nvSpPr>
        <cdr:cNvPr id="2" name="Szövegdoboz 1"/>
        <cdr:cNvSpPr txBox="1"/>
      </cdr:nvSpPr>
      <cdr:spPr>
        <a:xfrm xmlns:a="http://schemas.openxmlformats.org/drawingml/2006/main">
          <a:off x="374650" y="3641725"/>
          <a:ext cx="1060686" cy="8424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hu-HU" sz="11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hu-HU" sz="11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r>
            <a:rPr lang="hu-HU" sz="1100">
              <a:effectLst/>
              <a:latin typeface="+mn-lt"/>
              <a:ea typeface="+mn-ea"/>
              <a:cs typeface="+mn-cs"/>
            </a:rPr>
            <a:t>Oszlop: bértermelékenység (baloldali függőleges tengely)</a:t>
          </a:r>
          <a:endParaRPr lang="hu-HU">
            <a:effectLst/>
          </a:endParaRPr>
        </a:p>
        <a:p xmlns:a="http://schemas.openxmlformats.org/drawingml/2006/main">
          <a:r>
            <a:rPr lang="hu-HU" sz="1100">
              <a:effectLst/>
              <a:latin typeface="+mn-lt"/>
              <a:ea typeface="+mn-ea"/>
              <a:cs typeface="+mn-cs"/>
            </a:rPr>
            <a:t>Pont: bruttó profit ráta (jobboldali</a:t>
          </a:r>
          <a:r>
            <a:rPr lang="hu-HU" sz="1100" baseline="0">
              <a:effectLst/>
              <a:latin typeface="+mn-lt"/>
              <a:ea typeface="+mn-ea"/>
              <a:cs typeface="+mn-cs"/>
            </a:rPr>
            <a:t> függőleges tengely)</a:t>
          </a:r>
          <a:endParaRPr lang="hu-HU">
            <a:effectLst/>
          </a:endParaRPr>
        </a:p>
        <a:p xmlns:a="http://schemas.openxmlformats.org/drawingml/2006/main">
          <a:endParaRPr lang="hu-HU" sz="1100"/>
        </a:p>
      </cdr:txBody>
    </cdr:sp>
  </cdr:relSizeAnchor>
  <cdr:relSizeAnchor xmlns:cdr="http://schemas.openxmlformats.org/drawingml/2006/chartDrawing">
    <cdr:from>
      <cdr:x>0.09061</cdr:x>
      <cdr:y>0.39587</cdr:y>
    </cdr:from>
    <cdr:to>
      <cdr:x>0.87269</cdr:x>
      <cdr:y>0.40565</cdr:y>
    </cdr:to>
    <cdr:sp macro="" textlink="">
      <cdr:nvSpPr>
        <cdr:cNvPr id="3" name="Jobbra nyíl 2"/>
        <cdr:cNvSpPr/>
      </cdr:nvSpPr>
      <cdr:spPr>
        <a:xfrm xmlns:a="http://schemas.openxmlformats.org/drawingml/2006/main">
          <a:off x="521970" y="1824990"/>
          <a:ext cx="4505325" cy="45085"/>
        </a:xfrm>
        <a:prstGeom xmlns:a="http://schemas.openxmlformats.org/drawingml/2006/main" prst="rightArrow">
          <a:avLst/>
        </a:prstGeom>
        <a:ln xmlns:a="http://schemas.openxmlformats.org/drawingml/2006/main">
          <a:solidFill>
            <a:srgbClr val="00B0F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0.09755</cdr:x>
      <cdr:y>0.32231</cdr:y>
    </cdr:from>
    <cdr:to>
      <cdr:x>0.83499</cdr:x>
      <cdr:y>0.33223</cdr:y>
    </cdr:to>
    <cdr:sp macro="" textlink="">
      <cdr:nvSpPr>
        <cdr:cNvPr id="5" name="Balra nyíl 4"/>
        <cdr:cNvSpPr/>
      </cdr:nvSpPr>
      <cdr:spPr>
        <a:xfrm xmlns:a="http://schemas.openxmlformats.org/drawingml/2006/main">
          <a:off x="561975" y="1485900"/>
          <a:ext cx="4248150" cy="45719"/>
        </a:xfrm>
        <a:prstGeom xmlns:a="http://schemas.openxmlformats.org/drawingml/2006/main" prst="leftArrow">
          <a:avLst/>
        </a:prstGeom>
        <a:solidFill xmlns:a="http://schemas.openxmlformats.org/drawingml/2006/main">
          <a:schemeClr val="accent2"/>
        </a:solidFill>
        <a:ln xmlns:a="http://schemas.openxmlformats.org/drawingml/2006/main">
          <a:solidFill>
            <a:schemeClr val="accent2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hu-HU"/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1413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lajtai gyorgy2</dc:creator>
  <cp:keywords/>
  <dc:description/>
  <cp:lastModifiedBy>lajtai gyorgy2</cp:lastModifiedBy>
  <cp:revision>2</cp:revision>
  <cp:lastPrinted>2016-01-26T08:29:00Z</cp:lastPrinted>
  <dcterms:created xsi:type="dcterms:W3CDTF">2016-02-01T08:14:00Z</dcterms:created>
  <dcterms:modified xsi:type="dcterms:W3CDTF">2016-02-01T08:14:00Z</dcterms:modified>
</cp:coreProperties>
</file>